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FB9E5" w14:textId="77777777" w:rsidR="00DF43EA" w:rsidRPr="00E879C1" w:rsidRDefault="00E879C1" w:rsidP="00C41630">
      <w:pPr>
        <w:pStyle w:val="Overskrift1"/>
      </w:pPr>
      <w:r w:rsidRPr="006B42B1">
        <w:t xml:space="preserve">Predicting the Contractual Full-Time Equivalent Percentage Using </w:t>
      </w:r>
      <w:proofErr w:type="spellStart"/>
      <w:r w:rsidRPr="006B42B1">
        <w:t>XGBoost</w:t>
      </w:r>
      <w:proofErr w:type="spellEnd"/>
    </w:p>
    <w:p w14:paraId="6F6B55B0" w14:textId="77777777" w:rsidR="00E879C1" w:rsidRPr="00BD3517" w:rsidRDefault="00E879C1" w:rsidP="002A6A14">
      <w:pPr>
        <w:pStyle w:val="Kirjoittaja"/>
        <w:rPr>
          <w:rStyle w:val="Hyperkobling"/>
          <w:lang w:val="sv-SE"/>
        </w:rPr>
      </w:pPr>
      <w:r w:rsidRPr="00BD3517">
        <w:rPr>
          <w:lang w:val="sv-SE"/>
        </w:rPr>
        <w:t xml:space="preserve">Knut Håkon Grini, </w:t>
      </w:r>
      <w:hyperlink r:id="rId8" w:history="1">
        <w:r w:rsidRPr="00BD3517">
          <w:rPr>
            <w:rStyle w:val="Hyperkobling"/>
            <w:lang w:val="sv-SE"/>
          </w:rPr>
          <w:t>knut.grini@ssb.no</w:t>
        </w:r>
      </w:hyperlink>
    </w:p>
    <w:p w14:paraId="03C3366E" w14:textId="77777777" w:rsidR="00E879C1" w:rsidRPr="00E879C1" w:rsidRDefault="00E879C1" w:rsidP="002A6A14">
      <w:pPr>
        <w:pStyle w:val="Kirjoittaja"/>
        <w:rPr>
          <w:lang w:val="nb-NO"/>
        </w:rPr>
      </w:pPr>
      <w:r w:rsidRPr="0087337C">
        <w:rPr>
          <w:lang w:val="nb-NO"/>
        </w:rPr>
        <w:t xml:space="preserve">Stine Bakke, </w:t>
      </w:r>
      <w:hyperlink r:id="rId9" w:history="1">
        <w:r w:rsidRPr="0087337C">
          <w:rPr>
            <w:rStyle w:val="Hyperkobling"/>
            <w:lang w:val="nb-NO"/>
          </w:rPr>
          <w:t>stine.bakke@ssb.no</w:t>
        </w:r>
      </w:hyperlink>
    </w:p>
    <w:p w14:paraId="730BC63E" w14:textId="77777777" w:rsidR="000D705A" w:rsidRPr="00783854" w:rsidRDefault="000D705A" w:rsidP="002A6A14">
      <w:pPr>
        <w:pStyle w:val="Abstrakti"/>
        <w:rPr>
          <w:b/>
          <w:i w:val="0"/>
          <w:sz w:val="24"/>
          <w:szCs w:val="24"/>
          <w:lang w:val="en-US"/>
        </w:rPr>
      </w:pPr>
      <w:r w:rsidRPr="00783854">
        <w:rPr>
          <w:b/>
          <w:i w:val="0"/>
        </w:rPr>
        <w:t>Abstract</w:t>
      </w:r>
    </w:p>
    <w:p w14:paraId="25C11FC7" w14:textId="509E7954" w:rsidR="00E879C1" w:rsidRPr="00E879C1" w:rsidRDefault="00E879C1" w:rsidP="00763FA2">
      <w:pPr>
        <w:pStyle w:val="Abstrakti"/>
        <w:spacing w:line="360" w:lineRule="auto"/>
      </w:pPr>
      <w:r w:rsidRPr="00E879C1">
        <w:t xml:space="preserve">Statistics Norway receives monthly registry data concerning jobs, remunerations, and taxes (including payroll taxes) through </w:t>
      </w:r>
      <w:r w:rsidR="003E1E79">
        <w:t>a</w:t>
      </w:r>
      <w:r w:rsidRPr="00E879C1">
        <w:t>-</w:t>
      </w:r>
      <w:proofErr w:type="spellStart"/>
      <w:r w:rsidRPr="00E879C1">
        <w:t>ordningen</w:t>
      </w:r>
      <w:proofErr w:type="spellEnd"/>
      <w:r w:rsidRPr="00E879C1">
        <w:t>, which was established in 2015. This is a mandatory electronic reporting system for anyone who has employees or who pays salary, pension, or other benefits.</w:t>
      </w:r>
    </w:p>
    <w:p w14:paraId="7CECD474" w14:textId="07EC3097" w:rsidR="00E879C1" w:rsidRPr="00E879C1" w:rsidRDefault="00E879C1" w:rsidP="00763FA2">
      <w:pPr>
        <w:pStyle w:val="Abstrakti"/>
        <w:spacing w:line="360" w:lineRule="auto"/>
      </w:pPr>
      <w:r w:rsidRPr="00E879C1">
        <w:t>A-</w:t>
      </w:r>
      <w:proofErr w:type="spellStart"/>
      <w:r w:rsidRPr="00E879C1">
        <w:t>ordningen</w:t>
      </w:r>
      <w:proofErr w:type="spellEnd"/>
      <w:r w:rsidRPr="00E879C1">
        <w:t xml:space="preserve"> also include</w:t>
      </w:r>
      <w:r w:rsidR="00516303">
        <w:t>s</w:t>
      </w:r>
      <w:r w:rsidRPr="00E879C1">
        <w:t xml:space="preserve"> information on contractual full-time equivalent (FTE) percentage, i.e., the number of working hours stated in the employment contract relative to the number of working hours corresponding to a full-time job. However, the reporting of this variable is both questionable and incomplete, especially for hourly-paid jobs. To improve data quality in this respect, we have applied a method using </w:t>
      </w:r>
      <w:proofErr w:type="spellStart"/>
      <w:r w:rsidRPr="00E879C1">
        <w:t>XGBoost</w:t>
      </w:r>
      <w:proofErr w:type="spellEnd"/>
      <w:r w:rsidRPr="00E879C1">
        <w:t xml:space="preserve"> (</w:t>
      </w:r>
      <w:proofErr w:type="spellStart"/>
      <w:r w:rsidRPr="00E879C1">
        <w:t>eXtreme</w:t>
      </w:r>
      <w:proofErr w:type="spellEnd"/>
      <w:r w:rsidRPr="00E879C1">
        <w:t xml:space="preserve"> Gradient Boosting), which is a machine-learning algorithm based on gradient boosted decision trees.</w:t>
      </w:r>
    </w:p>
    <w:p w14:paraId="249F6B11" w14:textId="307B8A3C" w:rsidR="00E879C1" w:rsidRPr="00E879C1" w:rsidRDefault="00E879C1" w:rsidP="00763FA2">
      <w:pPr>
        <w:pStyle w:val="Abstrakti"/>
        <w:spacing w:line="360" w:lineRule="auto"/>
      </w:pPr>
      <w:r w:rsidRPr="00E879C1">
        <w:t xml:space="preserve">All observations in a given month are initially run through various checks to detect outliers. Observations still considered valid after the outlier detections are used to fit and test an </w:t>
      </w:r>
      <w:proofErr w:type="spellStart"/>
      <w:r w:rsidRPr="00E879C1">
        <w:t>XGBoost</w:t>
      </w:r>
      <w:proofErr w:type="spellEnd"/>
      <w:r w:rsidRPr="00E879C1">
        <w:t xml:space="preserve"> model for the FTE of monthly salary, including socio-economic factors such as, e.g., sex, age, education, occupation, industry, and monthly salary as predictor variables. This model is subsequently used to predict the FTE </w:t>
      </w:r>
      <w:r w:rsidR="000B79FD">
        <w:t>percentage</w:t>
      </w:r>
      <w:r w:rsidRPr="00E879C1">
        <w:t>, for the remaining invalid observations.</w:t>
      </w:r>
    </w:p>
    <w:p w14:paraId="12DB27A5" w14:textId="77777777" w:rsidR="00E879C1" w:rsidRPr="00E879C1" w:rsidRDefault="00E879C1" w:rsidP="00763FA2">
      <w:pPr>
        <w:pStyle w:val="Abstrakti"/>
        <w:spacing w:line="360" w:lineRule="auto"/>
      </w:pPr>
      <w:r w:rsidRPr="00E879C1">
        <w:t xml:space="preserve">In this paper, we give an overview of the </w:t>
      </w:r>
      <w:proofErr w:type="spellStart"/>
      <w:r w:rsidRPr="00E879C1">
        <w:t>XGBoost</w:t>
      </w:r>
      <w:proofErr w:type="spellEnd"/>
      <w:r w:rsidRPr="00E879C1">
        <w:t xml:space="preserve"> method and describe its application in predicting the contractual FTE percentage in cases where the reported values are either missing or considered erroneous.</w:t>
      </w:r>
    </w:p>
    <w:p w14:paraId="7C8CAED1" w14:textId="3320F7FC" w:rsidR="00DB4182" w:rsidRPr="002A6A14" w:rsidRDefault="00C726EA" w:rsidP="00763FA2">
      <w:pPr>
        <w:pStyle w:val="Abstrakti"/>
        <w:spacing w:line="360" w:lineRule="auto"/>
      </w:pPr>
      <w:r w:rsidRPr="002A6A14">
        <w:rPr>
          <w:b/>
        </w:rPr>
        <w:t>Keywords</w:t>
      </w:r>
      <w:r w:rsidRPr="002A6A14">
        <w:t xml:space="preserve">: </w:t>
      </w:r>
      <w:r w:rsidR="00E879C1" w:rsidRPr="006B42B1">
        <w:t>A-</w:t>
      </w:r>
      <w:proofErr w:type="spellStart"/>
      <w:r w:rsidR="00E879C1" w:rsidRPr="006B42B1">
        <w:t>ordningen</w:t>
      </w:r>
      <w:proofErr w:type="spellEnd"/>
      <w:r w:rsidR="00E879C1" w:rsidRPr="006B42B1">
        <w:t xml:space="preserve">, contractual full-time equivalent percentage, prediction, registry data, </w:t>
      </w:r>
      <w:r w:rsidR="005B7020">
        <w:t xml:space="preserve">machine-learning, </w:t>
      </w:r>
      <w:proofErr w:type="spellStart"/>
      <w:r w:rsidR="00E879C1" w:rsidRPr="006B42B1">
        <w:t>XGBoost</w:t>
      </w:r>
      <w:proofErr w:type="spellEnd"/>
    </w:p>
    <w:p w14:paraId="3C1B8BE0" w14:textId="77777777" w:rsidR="0083652D" w:rsidRDefault="0083652D">
      <w:pPr>
        <w:spacing w:before="0" w:after="160" w:line="259" w:lineRule="auto"/>
        <w:jc w:val="left"/>
        <w:rPr>
          <w:rFonts w:eastAsiaTheme="majorEastAsia" w:cstheme="majorBidi"/>
          <w:b/>
          <w:szCs w:val="26"/>
          <w:highlight w:val="lightGray"/>
        </w:rPr>
      </w:pPr>
      <w:r>
        <w:rPr>
          <w:highlight w:val="lightGray"/>
        </w:rPr>
        <w:br w:type="page"/>
      </w:r>
    </w:p>
    <w:p w14:paraId="07D1E546" w14:textId="77777777" w:rsidR="006B1F86" w:rsidRDefault="00E879C1" w:rsidP="0083652D">
      <w:pPr>
        <w:pStyle w:val="Overskrift2"/>
      </w:pPr>
      <w:r>
        <w:lastRenderedPageBreak/>
        <w:t>Introduction</w:t>
      </w:r>
    </w:p>
    <w:p w14:paraId="1A555A31" w14:textId="2EDD3807" w:rsidR="004D1273" w:rsidRDefault="004D1273" w:rsidP="004D1273">
      <w:r>
        <w:t xml:space="preserve">Statistics Norway receives monthly registry data concerning jobs, remunerations, and taxes (including payroll taxes) through </w:t>
      </w:r>
      <w:r w:rsidR="003E1E79">
        <w:t>a</w:t>
      </w:r>
      <w:r>
        <w:t>-</w:t>
      </w:r>
      <w:proofErr w:type="spellStart"/>
      <w:r>
        <w:t>ordningen</w:t>
      </w:r>
      <w:proofErr w:type="spellEnd"/>
      <w:r>
        <w:t>.</w:t>
      </w:r>
      <w:r w:rsidR="00EC115A">
        <w:t xml:space="preserve"> </w:t>
      </w:r>
      <w:r>
        <w:t>This is a mandatory electronic reporting system for anyone who has employees or who pays salary, pension, or other benefits.</w:t>
      </w:r>
    </w:p>
    <w:p w14:paraId="5771C046" w14:textId="23B2B9A7" w:rsidR="004D1273" w:rsidRPr="0003771B" w:rsidRDefault="004D1273" w:rsidP="004D1273">
      <w:r>
        <w:t>A-</w:t>
      </w:r>
      <w:proofErr w:type="spellStart"/>
      <w:r>
        <w:t>ordningen</w:t>
      </w:r>
      <w:proofErr w:type="spellEnd"/>
      <w:r>
        <w:t xml:space="preserve"> include</w:t>
      </w:r>
      <w:r w:rsidR="00516303">
        <w:t>s</w:t>
      </w:r>
      <w:r>
        <w:t xml:space="preserve"> information on the contractual full-time equivalent (FTE) percentage, i.e., the number of working hours stated in the employment contract relative to the number of working hours corresponding to a full-time job. </w:t>
      </w:r>
      <w:bookmarkStart w:id="0" w:name="_Hlk8801817"/>
      <w:r w:rsidRPr="0003771B">
        <w:rPr>
          <w:lang w:val="en-US"/>
        </w:rPr>
        <w:t>However, the reporting of this variable is both questionable and incomplete</w:t>
      </w:r>
      <w:r>
        <w:rPr>
          <w:lang w:val="en-US"/>
        </w:rPr>
        <w:t xml:space="preserve"> in many cases</w:t>
      </w:r>
      <w:r w:rsidRPr="0003771B">
        <w:rPr>
          <w:lang w:val="en-US"/>
        </w:rPr>
        <w:t>, especially for hourly-paid jobs</w:t>
      </w:r>
      <w:bookmarkEnd w:id="0"/>
      <w:r>
        <w:rPr>
          <w:lang w:val="en-US"/>
        </w:rPr>
        <w:t xml:space="preserve">. The FTE is essential </w:t>
      </w:r>
      <w:r w:rsidR="005B7020">
        <w:rPr>
          <w:lang w:val="en-US"/>
        </w:rPr>
        <w:t xml:space="preserve">for the register-based employment statistics, but also </w:t>
      </w:r>
      <w:r>
        <w:rPr>
          <w:lang w:val="en-US"/>
        </w:rPr>
        <w:t xml:space="preserve">for publishing statistics on earnings, with major users such as </w:t>
      </w:r>
      <w:r w:rsidRPr="006B5C60">
        <w:t>the Technical Reporting Committee on the Income Settlements, research and official studies institutes, employee and employer organisations</w:t>
      </w:r>
      <w:r w:rsidR="00516303">
        <w:t xml:space="preserve"> and</w:t>
      </w:r>
      <w:r w:rsidRPr="006B5C60">
        <w:t xml:space="preserve"> Eurostat</w:t>
      </w:r>
      <w:r>
        <w:t xml:space="preserve">. </w:t>
      </w:r>
      <w:bookmarkStart w:id="1" w:name="_Hlk8801854"/>
      <w:r w:rsidRPr="0003771B">
        <w:rPr>
          <w:lang w:val="en-US"/>
        </w:rPr>
        <w:t xml:space="preserve">To improve </w:t>
      </w:r>
      <w:r>
        <w:rPr>
          <w:lang w:val="en-US"/>
        </w:rPr>
        <w:t>the</w:t>
      </w:r>
      <w:r w:rsidRPr="0003771B">
        <w:rPr>
          <w:lang w:val="en-US"/>
        </w:rPr>
        <w:t xml:space="preserve"> quality </w:t>
      </w:r>
      <w:r>
        <w:rPr>
          <w:lang w:val="en-US"/>
        </w:rPr>
        <w:t>of FTE</w:t>
      </w:r>
      <w:r w:rsidRPr="0003771B">
        <w:rPr>
          <w:lang w:val="en-US"/>
        </w:rPr>
        <w:t>, we have applied a</w:t>
      </w:r>
      <w:r w:rsidR="00516303">
        <w:rPr>
          <w:lang w:val="en-US"/>
        </w:rPr>
        <w:t>n imputation</w:t>
      </w:r>
      <w:r w:rsidRPr="0003771B">
        <w:rPr>
          <w:lang w:val="en-US"/>
        </w:rPr>
        <w:t xml:space="preserve"> method using </w:t>
      </w:r>
      <w:proofErr w:type="spellStart"/>
      <w:r w:rsidRPr="0003771B">
        <w:rPr>
          <w:lang w:val="en-US"/>
        </w:rPr>
        <w:t>XGBoost</w:t>
      </w:r>
      <w:proofErr w:type="spellEnd"/>
      <w:r w:rsidRPr="0003771B">
        <w:rPr>
          <w:lang w:val="en-US"/>
        </w:rPr>
        <w:t xml:space="preserve"> (</w:t>
      </w:r>
      <w:proofErr w:type="spellStart"/>
      <w:r w:rsidRPr="0003771B">
        <w:rPr>
          <w:lang w:val="en-US"/>
        </w:rPr>
        <w:t>eXtreme</w:t>
      </w:r>
      <w:proofErr w:type="spellEnd"/>
      <w:r w:rsidRPr="0003771B">
        <w:rPr>
          <w:lang w:val="en-US"/>
        </w:rPr>
        <w:t xml:space="preserve"> Gradient Boosting), which is a machine-learning algorithm based on gradient boosted decision trees.</w:t>
      </w:r>
      <w:r w:rsidRPr="0003771B">
        <w:t xml:space="preserve"> </w:t>
      </w:r>
    </w:p>
    <w:bookmarkEnd w:id="1"/>
    <w:p w14:paraId="4CD9203F" w14:textId="77777777" w:rsidR="004D1273" w:rsidRPr="0003771B" w:rsidRDefault="004D1273" w:rsidP="004D1273">
      <w:pPr>
        <w:rPr>
          <w:lang w:val="en-US"/>
        </w:rPr>
      </w:pPr>
      <w:r w:rsidRPr="0003771B">
        <w:rPr>
          <w:lang w:val="en-US"/>
        </w:rPr>
        <w:t xml:space="preserve">In this paper, we give an overview of the </w:t>
      </w:r>
      <w:proofErr w:type="spellStart"/>
      <w:r w:rsidRPr="0003771B">
        <w:rPr>
          <w:lang w:val="en-US"/>
        </w:rPr>
        <w:t>XGBoost</w:t>
      </w:r>
      <w:proofErr w:type="spellEnd"/>
      <w:r w:rsidRPr="0003771B">
        <w:rPr>
          <w:lang w:val="en-US"/>
        </w:rPr>
        <w:t xml:space="preserve"> method and describe its application in predicting the contractual FTE percentage in cases where the reported values are either missing or considered erroneous. </w:t>
      </w:r>
      <w:r w:rsidRPr="0003771B">
        <w:t>Note that we are not describing the model itself but rather presenting its utility and establishing an understanding of why it is helpful.</w:t>
      </w:r>
    </w:p>
    <w:p w14:paraId="5B7C77F1" w14:textId="6CA39CA6" w:rsidR="00B4327F" w:rsidRPr="00263F24" w:rsidRDefault="00EA6456" w:rsidP="00263F24">
      <w:pPr>
        <w:pStyle w:val="Overskrift2"/>
        <w:rPr>
          <w:lang w:val="en-US"/>
        </w:rPr>
      </w:pPr>
      <w:r>
        <w:rPr>
          <w:lang w:val="en-US"/>
        </w:rPr>
        <w:t>A-</w:t>
      </w:r>
      <w:proofErr w:type="spellStart"/>
      <w:r>
        <w:rPr>
          <w:lang w:val="en-US"/>
        </w:rPr>
        <w:t>ordningen</w:t>
      </w:r>
      <w:proofErr w:type="spellEnd"/>
      <w:r>
        <w:rPr>
          <w:lang w:val="en-US"/>
        </w:rPr>
        <w:t xml:space="preserve"> </w:t>
      </w:r>
    </w:p>
    <w:p w14:paraId="55E4C7FE" w14:textId="49E118AD" w:rsidR="00EA6456" w:rsidRDefault="00EA6456" w:rsidP="00EA6456">
      <w:pPr>
        <w:pStyle w:val="Overskrift3"/>
        <w:rPr>
          <w:lang w:val="en-US"/>
        </w:rPr>
      </w:pPr>
      <w:r>
        <w:rPr>
          <w:lang w:val="en-US"/>
        </w:rPr>
        <w:t>A-</w:t>
      </w:r>
      <w:proofErr w:type="spellStart"/>
      <w:r>
        <w:rPr>
          <w:lang w:val="en-US"/>
        </w:rPr>
        <w:t>ordningen</w:t>
      </w:r>
      <w:proofErr w:type="spellEnd"/>
      <w:r>
        <w:rPr>
          <w:lang w:val="en-US"/>
        </w:rPr>
        <w:t xml:space="preserve"> in general</w:t>
      </w:r>
    </w:p>
    <w:p w14:paraId="479649C5" w14:textId="28F723F3" w:rsidR="00B44F24" w:rsidRDefault="006B2CCD" w:rsidP="00EA6456">
      <w:r w:rsidRPr="006B2CCD">
        <w:t>A-</w:t>
      </w:r>
      <w:proofErr w:type="spellStart"/>
      <w:r w:rsidRPr="006B2CCD">
        <w:t>ordningen</w:t>
      </w:r>
      <w:proofErr w:type="spellEnd"/>
      <w:r w:rsidR="00EA6456" w:rsidRPr="00EF1A91">
        <w:t xml:space="preserve"> was established in 2015 and is a collaborative system between Statistics Norway, the Norwegian Tax Authority and the Norwegian Labour and Welfare Administration. A-</w:t>
      </w:r>
      <w:proofErr w:type="spellStart"/>
      <w:r w:rsidR="00EA6456" w:rsidRPr="00EF1A91">
        <w:t>ordningen</w:t>
      </w:r>
      <w:proofErr w:type="spellEnd"/>
      <w:r w:rsidR="00EA6456" w:rsidRPr="00EF1A91">
        <w:t xml:space="preserve"> provides a digital service, where the information is submitted electronically every month via the employer’s payroll system to the Tax Administration Shared Services Agency, which administers </w:t>
      </w:r>
      <w:r w:rsidR="003E1E79">
        <w:t>a</w:t>
      </w:r>
      <w:r w:rsidR="00EA6456" w:rsidRPr="00EF1A91">
        <w:t>-</w:t>
      </w:r>
      <w:proofErr w:type="spellStart"/>
      <w:r w:rsidR="00EA6456" w:rsidRPr="00EF1A91">
        <w:t>ordningen</w:t>
      </w:r>
      <w:proofErr w:type="spellEnd"/>
      <w:r w:rsidR="00EA6456" w:rsidRPr="00EF1A91">
        <w:t>.</w:t>
      </w:r>
    </w:p>
    <w:p w14:paraId="44D93A5C" w14:textId="74FBCC8A" w:rsidR="00EA6456" w:rsidRPr="00EF1A91" w:rsidRDefault="00B44F24" w:rsidP="00EA6456">
      <w:r w:rsidRPr="00EF1A91">
        <w:t xml:space="preserve">Anyone who has employees or who pays salary, pension or other benefits, such as social security, must submit an electronic form called an </w:t>
      </w:r>
      <w:r w:rsidR="003E1E79">
        <w:t>a</w:t>
      </w:r>
      <w:r w:rsidRPr="00EF1A91">
        <w:t xml:space="preserve">-melding. This is regulated </w:t>
      </w:r>
      <w:r w:rsidRPr="00EF1A91">
        <w:lastRenderedPageBreak/>
        <w:t>by law (A-</w:t>
      </w:r>
      <w:proofErr w:type="spellStart"/>
      <w:r w:rsidRPr="00EF1A91">
        <w:t>opplysnings</w:t>
      </w:r>
      <w:proofErr w:type="spellEnd"/>
      <w:r w:rsidRPr="00EF1A91">
        <w:t xml:space="preserve"> act) with a lower threshold amount of NOK 1 000 per year</w:t>
      </w:r>
      <w:r w:rsidR="00C25931">
        <w:rPr>
          <w:rStyle w:val="Fotnotereferanse"/>
        </w:rPr>
        <w:footnoteReference w:id="1"/>
      </w:r>
      <w:r w:rsidRPr="00EF1A91">
        <w:t xml:space="preserve">. </w:t>
      </w:r>
      <w:r w:rsidR="00C80DD9" w:rsidRPr="00EF1A91">
        <w:t>The a-melding does not cover self-employed.</w:t>
      </w:r>
    </w:p>
    <w:p w14:paraId="5D1ECE85" w14:textId="37A6334C" w:rsidR="0009133E" w:rsidRDefault="003D392A" w:rsidP="0009133E">
      <w:pPr>
        <w:rPr>
          <w:lang w:val="en-US"/>
        </w:rPr>
      </w:pPr>
      <w:r>
        <w:t>In summary,</w:t>
      </w:r>
      <w:r w:rsidR="00E65BE4">
        <w:t xml:space="preserve"> A-</w:t>
      </w:r>
      <w:proofErr w:type="spellStart"/>
      <w:r w:rsidR="00E65BE4">
        <w:t>ordningen</w:t>
      </w:r>
      <w:proofErr w:type="spellEnd"/>
      <w:r w:rsidR="00E65BE4">
        <w:t xml:space="preserve"> is a collaborative system</w:t>
      </w:r>
      <w:r w:rsidR="00024A76">
        <w:t>, while</w:t>
      </w:r>
      <w:r w:rsidR="00E65BE4">
        <w:t xml:space="preserve"> </w:t>
      </w:r>
      <w:r w:rsidR="00024A76">
        <w:t xml:space="preserve">the </w:t>
      </w:r>
      <w:r w:rsidR="00E65BE4">
        <w:t xml:space="preserve">A-melding is an electronic form submitted to this system. </w:t>
      </w:r>
      <w:r w:rsidR="00EA6456" w:rsidRPr="00EF1A91">
        <w:t xml:space="preserve">Every year, 250 000 employers submit information concerning 4.8 million employees and pensioners via the </w:t>
      </w:r>
      <w:r w:rsidR="00016479">
        <w:t>a</w:t>
      </w:r>
      <w:r w:rsidR="00EA6456" w:rsidRPr="00EF1A91">
        <w:t>-</w:t>
      </w:r>
      <w:proofErr w:type="spellStart"/>
      <w:r w:rsidR="00EA6456" w:rsidRPr="00EF1A91">
        <w:t>ordning</w:t>
      </w:r>
      <w:proofErr w:type="spellEnd"/>
      <w:r w:rsidR="00EA6456" w:rsidRPr="00EF1A91">
        <w:t>.</w:t>
      </w:r>
      <w:r w:rsidR="00352022">
        <w:t xml:space="preserve"> </w:t>
      </w:r>
      <w:r w:rsidR="00DF2E5E">
        <w:t xml:space="preserve">E.g. </w:t>
      </w:r>
      <w:r w:rsidR="00DF2E5E" w:rsidRPr="00EF1A91">
        <w:t>type of employment</w:t>
      </w:r>
      <w:r w:rsidR="00DF2E5E">
        <w:t>,</w:t>
      </w:r>
      <w:r w:rsidR="00352022" w:rsidRPr="00EF1A91">
        <w:t xml:space="preserve"> start and end data for the job, contractual full-time equivalent (FTE) percentage, salary and remuneration in cash and kind</w:t>
      </w:r>
      <w:r w:rsidR="00352022">
        <w:t>,</w:t>
      </w:r>
      <w:r w:rsidR="00352022" w:rsidRPr="00EF1A91">
        <w:t xml:space="preserve"> </w:t>
      </w:r>
      <w:r w:rsidR="00DE1239">
        <w:t>and</w:t>
      </w:r>
      <w:r w:rsidR="00352022" w:rsidRPr="00EF1A91">
        <w:t xml:space="preserve"> pension. Employers are also required to report information about some deductions, employer’s national insurance contribution and financial activity tax. </w:t>
      </w:r>
      <w:r w:rsidR="00A140C1">
        <w:t xml:space="preserve">More </w:t>
      </w:r>
      <w:r w:rsidR="006B2CCD">
        <w:t xml:space="preserve">information </w:t>
      </w:r>
      <w:r w:rsidR="00CB2E9A">
        <w:t>about a-</w:t>
      </w:r>
      <w:proofErr w:type="spellStart"/>
      <w:r w:rsidR="00CB2E9A">
        <w:t>ordningen</w:t>
      </w:r>
      <w:proofErr w:type="spellEnd"/>
      <w:r w:rsidR="00CB2E9A">
        <w:t xml:space="preserve"> </w:t>
      </w:r>
      <w:r w:rsidR="00A140C1">
        <w:t xml:space="preserve">is available at </w:t>
      </w:r>
      <w:r w:rsidR="00A140C1" w:rsidRPr="000248E2">
        <w:t xml:space="preserve">the Norwegian Tax Authority’s </w:t>
      </w:r>
      <w:r w:rsidR="00DE1239" w:rsidRPr="000248E2">
        <w:t>web</w:t>
      </w:r>
      <w:r w:rsidR="00A140C1" w:rsidRPr="000248E2">
        <w:t>site</w:t>
      </w:r>
      <w:r w:rsidR="000248E2">
        <w:t xml:space="preserve"> </w:t>
      </w:r>
      <w:r w:rsidR="0009133E" w:rsidRPr="003D78F5">
        <w:rPr>
          <w:lang w:val="en-US"/>
        </w:rPr>
        <w:t>(Skatteetaten.no, 2019)</w:t>
      </w:r>
      <w:r w:rsidR="00385731">
        <w:rPr>
          <w:lang w:val="en-US"/>
        </w:rPr>
        <w:t xml:space="preserve">. </w:t>
      </w:r>
    </w:p>
    <w:p w14:paraId="3BEE52E4" w14:textId="0E74A58F" w:rsidR="00EA6456" w:rsidRDefault="00B44F24" w:rsidP="008A1C76">
      <w:pPr>
        <w:pStyle w:val="Overskrift3"/>
      </w:pPr>
      <w:r>
        <w:t>Submission validation checks</w:t>
      </w:r>
    </w:p>
    <w:p w14:paraId="40EEC467" w14:textId="54670E4C" w:rsidR="006B44C3" w:rsidRPr="00EF1A91" w:rsidRDefault="006B44C3" w:rsidP="006B44C3">
      <w:r w:rsidRPr="00EF1A91">
        <w:t xml:space="preserve">The data submitted via the payroll systems are automatically checked for errors and omissions. Feedback is given to the employers almost instantly and includes information about discrepancies, if such are found, </w:t>
      </w:r>
      <w:r w:rsidR="00CD5888">
        <w:t xml:space="preserve">or </w:t>
      </w:r>
      <w:r w:rsidRPr="00EF1A91">
        <w:t xml:space="preserve">if no discrepancies only a receipt is provided. The checks are classified according to the degree of severity which varies from rejection of the </w:t>
      </w:r>
      <w:r w:rsidR="00016479">
        <w:t>a</w:t>
      </w:r>
      <w:r w:rsidRPr="00EF1A91">
        <w:t xml:space="preserve">-melding caused by a severe error, to a guideline feedback urging the reporter to check for potential errors in the delivered </w:t>
      </w:r>
      <w:r w:rsidR="00016479">
        <w:t>a</w:t>
      </w:r>
      <w:r w:rsidRPr="00EF1A91">
        <w:t>-melding. Data are forwarded to Statistics Norway the 10</w:t>
      </w:r>
      <w:r w:rsidRPr="00EF1A91">
        <w:rPr>
          <w:vertAlign w:val="superscript"/>
        </w:rPr>
        <w:t>th</w:t>
      </w:r>
      <w:r w:rsidRPr="00EF1A91">
        <w:t xml:space="preserve"> of every month which is 5 days after the deadline for reporting on the month expired. Upon arrival at Statistics Norway the data </w:t>
      </w:r>
      <w:r w:rsidR="005B7020">
        <w:t>are</w:t>
      </w:r>
      <w:r w:rsidR="005B7020" w:rsidRPr="00EF1A91">
        <w:t xml:space="preserve"> </w:t>
      </w:r>
      <w:r w:rsidRPr="00EF1A91">
        <w:t>processed, controlled and verified automatically. In addition to the controls integrated in the data delivery procedure, several automatic controls are implemented in</w:t>
      </w:r>
      <w:r w:rsidR="00234559">
        <w:t xml:space="preserve"> </w:t>
      </w:r>
      <w:r w:rsidR="0021587F">
        <w:t>our</w:t>
      </w:r>
      <w:r w:rsidR="0021587F" w:rsidRPr="00EF1A91">
        <w:t xml:space="preserve"> production</w:t>
      </w:r>
      <w:r w:rsidRPr="00EF1A91">
        <w:t xml:space="preserve"> system e.g. a routine for verifying jobs as active or not. Some employers may submit information about employees that are not active during the reference period, for instance seasonal workers or temporary staff where </w:t>
      </w:r>
      <w:r w:rsidR="006E3339">
        <w:t xml:space="preserve">an </w:t>
      </w:r>
      <w:r w:rsidRPr="00EF1A91">
        <w:t>end date of the job has not been reported. The verification is based on information on wages, duration of leave, benefits related to sickness, maternity leave etc.</w:t>
      </w:r>
    </w:p>
    <w:p w14:paraId="22F17983" w14:textId="2CEECFE1" w:rsidR="006B44C3" w:rsidRPr="00EF1A91" w:rsidRDefault="006B44C3" w:rsidP="006B44C3">
      <w:r w:rsidRPr="00EF1A91">
        <w:t>Employers may submit replacements or corrections for earlier periods. It’s important to note that Statistics Norway base</w:t>
      </w:r>
      <w:r w:rsidR="007860E3">
        <w:t>s</w:t>
      </w:r>
      <w:r w:rsidRPr="00EF1A91">
        <w:t xml:space="preserve"> most of its statistics from this source</w:t>
      </w:r>
      <w:r w:rsidR="007860E3">
        <w:t>,</w:t>
      </w:r>
      <w:r w:rsidRPr="00EF1A91">
        <w:t xml:space="preserve"> on data received up to 2 months after the reference period. The </w:t>
      </w:r>
      <w:r w:rsidR="00B62900">
        <w:t xml:space="preserve">main </w:t>
      </w:r>
      <w:r w:rsidRPr="00EF1A91">
        <w:t>reason</w:t>
      </w:r>
      <w:r w:rsidR="00B62900">
        <w:t>s</w:t>
      </w:r>
      <w:r w:rsidRPr="00EF1A91">
        <w:t xml:space="preserve"> </w:t>
      </w:r>
      <w:r w:rsidR="00B62900">
        <w:t xml:space="preserve">being that the </w:t>
      </w:r>
      <w:r w:rsidR="00B62900">
        <w:lastRenderedPageBreak/>
        <w:t>coverage is better</w:t>
      </w:r>
      <w:r w:rsidR="00CB7E9E">
        <w:t xml:space="preserve"> (</w:t>
      </w:r>
      <w:r w:rsidR="00EA6D06">
        <w:t xml:space="preserve">as we </w:t>
      </w:r>
      <w:r w:rsidR="00CB7E9E">
        <w:t>includ</w:t>
      </w:r>
      <w:r w:rsidR="00EA6D06">
        <w:t xml:space="preserve">e </w:t>
      </w:r>
      <w:r w:rsidR="00CB7E9E">
        <w:t>delayed forms)</w:t>
      </w:r>
      <w:r w:rsidR="00B62900">
        <w:t xml:space="preserve">, and that </w:t>
      </w:r>
      <w:r w:rsidRPr="00EF1A91">
        <w:t>corrections</w:t>
      </w:r>
      <w:r w:rsidR="001A0E51">
        <w:t>,</w:t>
      </w:r>
      <w:r w:rsidRPr="00EF1A91">
        <w:t xml:space="preserve"> for the most part</w:t>
      </w:r>
      <w:r w:rsidR="001A0E51">
        <w:t>,</w:t>
      </w:r>
      <w:r w:rsidRPr="00EF1A91">
        <w:t xml:space="preserve"> </w:t>
      </w:r>
      <w:r w:rsidR="00E65BE4">
        <w:t>are submitted</w:t>
      </w:r>
      <w:r w:rsidRPr="00EF1A91">
        <w:t xml:space="preserve"> the month just following the reference month.</w:t>
      </w:r>
    </w:p>
    <w:p w14:paraId="24CF651E" w14:textId="77777777" w:rsidR="006B44C3" w:rsidRDefault="006B44C3" w:rsidP="006B44C3">
      <w:r w:rsidRPr="00EF1A91">
        <w:t>An important part of data preparation is the extensive matching with existing registers in Statistics Norway, most importantly population, business and education, but several others are also utilized.</w:t>
      </w:r>
    </w:p>
    <w:p w14:paraId="4366F129" w14:textId="77777777" w:rsidR="006B44C3" w:rsidRDefault="006B44C3" w:rsidP="006B44C3">
      <w:pPr>
        <w:pStyle w:val="Overskrift3"/>
      </w:pPr>
      <w:r>
        <w:t>The statistical unit</w:t>
      </w:r>
    </w:p>
    <w:p w14:paraId="5F3E93C0" w14:textId="3A4DBF33" w:rsidR="00CE6297" w:rsidRPr="00EF1A91" w:rsidRDefault="00CE6297" w:rsidP="00CE6297">
      <w:r w:rsidRPr="00EF1A91">
        <w:t xml:space="preserve">The basic statistical unit in </w:t>
      </w:r>
      <w:r w:rsidR="00A73A46">
        <w:t>a</w:t>
      </w:r>
      <w:r w:rsidRPr="00EF1A91">
        <w:t>-</w:t>
      </w:r>
      <w:proofErr w:type="spellStart"/>
      <w:r w:rsidRPr="00EF1A91">
        <w:t>ordningen</w:t>
      </w:r>
      <w:proofErr w:type="spellEnd"/>
      <w:r w:rsidRPr="00EF1A91">
        <w:t xml:space="preserve"> </w:t>
      </w:r>
      <w:r w:rsidR="00A86154">
        <w:t>is</w:t>
      </w:r>
      <w:r w:rsidR="00A86154" w:rsidRPr="00EF1A91">
        <w:t xml:space="preserve"> </w:t>
      </w:r>
      <w:r w:rsidRPr="00EF1A91">
        <w:t>jobs (or employment by local kind of activity), linked to each employee and remuneration.</w:t>
      </w:r>
      <w:r w:rsidR="00A423E9">
        <w:t xml:space="preserve"> </w:t>
      </w:r>
      <w:r w:rsidRPr="00EF1A91">
        <w:t xml:space="preserve">Usually the unit reported through the </w:t>
      </w:r>
      <w:r w:rsidR="00A73A46">
        <w:t>a</w:t>
      </w:r>
      <w:r w:rsidRPr="00EF1A91">
        <w:t>-melding is a person working in a given establishment (a locally delimited functional unit). But the employer is free to report the job as two (or more) part-time jobs, which is a relatively common practice especially in the health</w:t>
      </w:r>
      <w:r w:rsidR="00B5629F">
        <w:t>care and social services</w:t>
      </w:r>
      <w:r w:rsidRPr="00EF1A91">
        <w:t xml:space="preserve">. In </w:t>
      </w:r>
      <w:r w:rsidR="00E95394">
        <w:t xml:space="preserve">our production </w:t>
      </w:r>
      <w:r w:rsidRPr="00EF1A91">
        <w:t xml:space="preserve">however, part-time jobs in the same establishment </w:t>
      </w:r>
      <w:r w:rsidR="007860E3">
        <w:t>are</w:t>
      </w:r>
      <w:r w:rsidR="007860E3" w:rsidRPr="00EF1A91">
        <w:t xml:space="preserve"> </w:t>
      </w:r>
      <w:r w:rsidRPr="00EF1A91">
        <w:t xml:space="preserve">aggregated to one job, but not across establishments. </w:t>
      </w:r>
      <w:r w:rsidR="00E06E32" w:rsidRPr="00EF1A91">
        <w:t>If a person has more than one job, the main job is classified according to a set of criteria, including the type of job, working hours and so forth.</w:t>
      </w:r>
    </w:p>
    <w:p w14:paraId="47570BAA" w14:textId="77777777" w:rsidR="00B67254" w:rsidRDefault="00B67254" w:rsidP="00B67254">
      <w:pPr>
        <w:pStyle w:val="Overskrift2"/>
      </w:pPr>
      <w:r>
        <w:t xml:space="preserve">Agreed working hours – and the problem </w:t>
      </w:r>
    </w:p>
    <w:p w14:paraId="71675930" w14:textId="2962EF6D" w:rsidR="00B67254" w:rsidRPr="00EF1A91" w:rsidRDefault="00B67254" w:rsidP="00B67254">
      <w:r w:rsidRPr="00EF1A91">
        <w:t xml:space="preserve">The quality of </w:t>
      </w:r>
      <w:r w:rsidR="00FA40A0">
        <w:t>a</w:t>
      </w:r>
      <w:r w:rsidRPr="00EF1A91">
        <w:t>-</w:t>
      </w:r>
      <w:proofErr w:type="spellStart"/>
      <w:r w:rsidRPr="00EF1A91">
        <w:t>ordningen</w:t>
      </w:r>
      <w:proofErr w:type="spellEnd"/>
      <w:r w:rsidRPr="00EF1A91">
        <w:t xml:space="preserve"> is generally considered very good and far better than previous sources for statistical purposes. A-</w:t>
      </w:r>
      <w:proofErr w:type="spellStart"/>
      <w:r w:rsidRPr="00EF1A91">
        <w:t>ordningen</w:t>
      </w:r>
      <w:proofErr w:type="spellEnd"/>
      <w:r w:rsidRPr="00EF1A91">
        <w:t xml:space="preserve"> provides a better coverage of </w:t>
      </w:r>
      <w:r w:rsidR="002A5B56">
        <w:t>part-time jobs</w:t>
      </w:r>
      <w:r w:rsidRPr="00EF1A91">
        <w:t xml:space="preserve"> as well as more accurate data at the individual level, than the main source up to and including 2014 (</w:t>
      </w:r>
      <w:r w:rsidR="00BB5C22">
        <w:t xml:space="preserve">the </w:t>
      </w:r>
      <w:r w:rsidR="0048368B" w:rsidRPr="0048368B">
        <w:t xml:space="preserve">State Register of Employers and Employees </w:t>
      </w:r>
      <w:r w:rsidR="0048368B">
        <w:t xml:space="preserve">administered by the </w:t>
      </w:r>
      <w:r w:rsidR="0048368B" w:rsidRPr="0048368B">
        <w:t>Norwegian Labour and Welfare Organization</w:t>
      </w:r>
      <w:r w:rsidR="009F319F">
        <w:t>, NAV</w:t>
      </w:r>
      <w:r w:rsidRPr="00EF1A91">
        <w:t xml:space="preserve">). There are several reasons why the quality has improved. With </w:t>
      </w:r>
      <w:r w:rsidR="00FA40A0">
        <w:t>a</w:t>
      </w:r>
      <w:r w:rsidRPr="00EF1A91">
        <w:t>-</w:t>
      </w:r>
      <w:proofErr w:type="spellStart"/>
      <w:r w:rsidRPr="00EF1A91">
        <w:t>ordningen</w:t>
      </w:r>
      <w:proofErr w:type="spellEnd"/>
      <w:r w:rsidRPr="00EF1A91">
        <w:t xml:space="preserve"> we have a coherent set of rules that force more accurate reporting. Information about working conditions and earnings now come from the same source, and not different sources as before. Coherence in the reporting between jobs and wages provides a better opportunity for follow-up</w:t>
      </w:r>
      <w:r w:rsidR="009F319F">
        <w:t xml:space="preserve"> and validity checks</w:t>
      </w:r>
      <w:r w:rsidRPr="00EF1A91">
        <w:t xml:space="preserve">, and thus achieving better quality. In the case of the earnings statistics specifically, </w:t>
      </w:r>
      <w:r w:rsidR="00FA40A0">
        <w:t>a</w:t>
      </w:r>
      <w:r w:rsidR="00294FF9">
        <w:t>-</w:t>
      </w:r>
      <w:proofErr w:type="spellStart"/>
      <w:r w:rsidR="00294FF9">
        <w:t>ordning</w:t>
      </w:r>
      <w:r w:rsidR="00172738">
        <w:t>en</w:t>
      </w:r>
      <w:proofErr w:type="spellEnd"/>
      <w:r w:rsidRPr="00EF1A91">
        <w:t xml:space="preserve"> replaced a sample survey and therefore benefitted substantial improvements due to the same reasons listed above</w:t>
      </w:r>
      <w:r w:rsidR="007860E3" w:rsidRPr="007860E3">
        <w:t xml:space="preserve"> </w:t>
      </w:r>
      <w:r w:rsidR="007860E3">
        <w:t>as well as elimination of the sampling error</w:t>
      </w:r>
      <w:r w:rsidRPr="00EF1A91">
        <w:t xml:space="preserve">. However, the reporting of the contractual full-time equivalent (FTE) percentage is both questionable and incomplete in many cases, especially for hourly-paid jobs. </w:t>
      </w:r>
    </w:p>
    <w:p w14:paraId="24D57DE0" w14:textId="1784D67B" w:rsidR="00B67254" w:rsidRPr="00EF1A91" w:rsidRDefault="00B67254" w:rsidP="00B67254">
      <w:r w:rsidRPr="00EF1A91">
        <w:lastRenderedPageBreak/>
        <w:t xml:space="preserve">More specifically, working hours are not reported for many hourly-paid jobs, or it seems like a high proportion use default </w:t>
      </w:r>
      <w:proofErr w:type="gramStart"/>
      <w:r w:rsidRPr="00EF1A91">
        <w:t>values</w:t>
      </w:r>
      <w:proofErr w:type="gramEnd"/>
      <w:r w:rsidRPr="00EF1A91">
        <w:t xml:space="preserve"> such as 0 or 100. The latter is problematic as it complicates the process of identifying the incorrect values of the FTE percentages. After more than four years of </w:t>
      </w:r>
      <w:r w:rsidR="00BA500B">
        <w:t xml:space="preserve">collecting </w:t>
      </w:r>
      <w:r w:rsidRPr="00EF1A91">
        <w:t xml:space="preserve">data, </w:t>
      </w:r>
      <w:r w:rsidR="00BA500B">
        <w:t xml:space="preserve">our </w:t>
      </w:r>
      <w:r w:rsidRPr="00EF1A91">
        <w:t>experiences indicate that when the working hours and wages are inconsistent – the wages are usually reported correctly.</w:t>
      </w:r>
    </w:p>
    <w:p w14:paraId="2D4AC288" w14:textId="77777777" w:rsidR="00B67254" w:rsidRPr="00EF1A91" w:rsidRDefault="00B67254" w:rsidP="00B67254">
      <w:r w:rsidRPr="00EF1A91">
        <w:t xml:space="preserve">Since data about compensation are used for calculation of taxes for </w:t>
      </w:r>
      <w:proofErr w:type="gramStart"/>
      <w:r w:rsidRPr="00EF1A91">
        <w:t>each individual</w:t>
      </w:r>
      <w:proofErr w:type="gramEnd"/>
      <w:r w:rsidRPr="00EF1A91">
        <w:t>, and also utilized in case management for calculating rights in connection with sick leave and other social benefits, the incentives to report correctly and timely are strong. The logic being that the more critical the use, the higher the barriers are for incorrect information. There is a possibility for each employer to access a report that sums up what has been reported either per month or for any other chosen period. This has been extensively utilized by many to check the consistency between reported data and data as noted in ledgers and accounting systems. This service gives two basic improvements as viewed by Statistics Norway, first and foremost quality, but also openness – we achieve a more explicit communication and understanding of how and what the information is used for.</w:t>
      </w:r>
    </w:p>
    <w:p w14:paraId="4BBB46DC" w14:textId="232A0CBC" w:rsidR="000E0D25" w:rsidRDefault="00B67254" w:rsidP="00B67254">
      <w:r w:rsidRPr="00EF1A91">
        <w:t>As wages and working hours are correlated – we want to utilize the information we have on earnings and develop a</w:t>
      </w:r>
      <w:r w:rsidR="00945DBF">
        <w:t>n imputation</w:t>
      </w:r>
      <w:r w:rsidRPr="00EF1A91">
        <w:t xml:space="preserve"> method for predicting the FTE percentage.</w:t>
      </w:r>
      <w:r w:rsidR="00945DBF" w:rsidRPr="00945DBF">
        <w:rPr>
          <w:rStyle w:val="Merknadsreferanse"/>
        </w:rPr>
        <w:t xml:space="preserve"> </w:t>
      </w:r>
      <w:r w:rsidRPr="00EF1A91">
        <w:t xml:space="preserve"> </w:t>
      </w:r>
    </w:p>
    <w:p w14:paraId="71C25206" w14:textId="22A761D0" w:rsidR="00725B08" w:rsidRPr="000E0D25" w:rsidRDefault="00172738" w:rsidP="00B67254">
      <w:r w:rsidRPr="000E0D25">
        <w:t>However</w:t>
      </w:r>
      <w:r w:rsidR="00725B08" w:rsidRPr="000E0D25">
        <w:t>,</w:t>
      </w:r>
      <w:r w:rsidRPr="000E0D25">
        <w:t xml:space="preserve"> we want to emphasise that even though</w:t>
      </w:r>
      <w:r w:rsidR="005C63ED" w:rsidRPr="000E0D25">
        <w:t xml:space="preserve"> earnings are more often correct, w</w:t>
      </w:r>
      <w:r w:rsidR="00AE1974" w:rsidRPr="000E0D25">
        <w:t>e do find discrepancies</w:t>
      </w:r>
      <w:r w:rsidR="00A24C50" w:rsidRPr="000E0D25">
        <w:t>:</w:t>
      </w:r>
      <w:r w:rsidR="005C63ED" w:rsidRPr="000E0D25">
        <w:t xml:space="preserve"> </w:t>
      </w:r>
      <w:r w:rsidR="00444157" w:rsidRPr="000E0D25">
        <w:t xml:space="preserve">As mentioned previously, it is relatively easy to remove </w:t>
      </w:r>
      <w:r w:rsidR="001C236E">
        <w:t>jobs</w:t>
      </w:r>
      <w:r w:rsidR="001C236E" w:rsidRPr="000E0D25">
        <w:t xml:space="preserve"> </w:t>
      </w:r>
      <w:r w:rsidR="00444157" w:rsidRPr="000E0D25">
        <w:t xml:space="preserve">that are not active in a given month, as we </w:t>
      </w:r>
      <w:r w:rsidR="007F408F" w:rsidRPr="000E0D25">
        <w:t>can identify who has not received a</w:t>
      </w:r>
      <w:r w:rsidR="000B114E" w:rsidRPr="000E0D25">
        <w:t xml:space="preserve"> </w:t>
      </w:r>
      <w:r w:rsidR="00AD2BD7" w:rsidRPr="000E0D25">
        <w:t xml:space="preserve">wage </w:t>
      </w:r>
      <w:r w:rsidR="007F408F" w:rsidRPr="000E0D25">
        <w:t xml:space="preserve">in </w:t>
      </w:r>
      <w:r w:rsidR="00263939">
        <w:t>the specified</w:t>
      </w:r>
      <w:r w:rsidR="00263939" w:rsidRPr="000E0D25">
        <w:t xml:space="preserve"> </w:t>
      </w:r>
      <w:r w:rsidR="007F408F" w:rsidRPr="000E0D25">
        <w:t xml:space="preserve">month. But, when </w:t>
      </w:r>
      <w:r w:rsidRPr="000E0D25">
        <w:t>employers submit information about employees</w:t>
      </w:r>
      <w:r w:rsidR="007F408F" w:rsidRPr="000E0D25">
        <w:t xml:space="preserve"> that are not </w:t>
      </w:r>
      <w:r w:rsidR="00725B08" w:rsidRPr="000E0D25">
        <w:t xml:space="preserve">related to </w:t>
      </w:r>
      <w:r w:rsidR="007F408F" w:rsidRPr="000E0D25">
        <w:t>the current period we are looking at –</w:t>
      </w:r>
      <w:r w:rsidR="005A6526" w:rsidRPr="000E0D25">
        <w:t xml:space="preserve"> </w:t>
      </w:r>
      <w:r w:rsidR="007F408F" w:rsidRPr="000E0D25">
        <w:t xml:space="preserve">a </w:t>
      </w:r>
      <w:r w:rsidRPr="000E0D25">
        <w:t>problem</w:t>
      </w:r>
      <w:r w:rsidR="005A6526" w:rsidRPr="000E0D25">
        <w:t xml:space="preserve"> arise</w:t>
      </w:r>
      <w:r w:rsidR="000B114E" w:rsidRPr="000E0D25">
        <w:t>s</w:t>
      </w:r>
      <w:r w:rsidR="007F408F" w:rsidRPr="000E0D25">
        <w:t>.</w:t>
      </w:r>
      <w:r w:rsidRPr="000E0D25">
        <w:t xml:space="preserve"> This </w:t>
      </w:r>
      <w:r w:rsidR="00725B08" w:rsidRPr="000E0D25">
        <w:t xml:space="preserve">might be </w:t>
      </w:r>
      <w:r w:rsidRPr="000E0D25">
        <w:t xml:space="preserve">“right” according to the </w:t>
      </w:r>
      <w:r w:rsidR="00725B08" w:rsidRPr="000E0D25">
        <w:t xml:space="preserve">Norwegian Tax Authority, who are not concerned with which month the payment is </w:t>
      </w:r>
      <w:r w:rsidR="005A6526" w:rsidRPr="000E0D25">
        <w:t>linked to</w:t>
      </w:r>
      <w:r w:rsidR="000B114E" w:rsidRPr="000E0D25">
        <w:t xml:space="preserve"> but when remuneration changes hands. F</w:t>
      </w:r>
      <w:r w:rsidR="00725B08" w:rsidRPr="000E0D25">
        <w:t xml:space="preserve">or </w:t>
      </w:r>
      <w:r w:rsidRPr="000E0D25">
        <w:t>statistical purposes</w:t>
      </w:r>
      <w:r w:rsidR="00725B08" w:rsidRPr="000E0D25">
        <w:t xml:space="preserve"> on the other hand</w:t>
      </w:r>
      <w:r w:rsidR="000B114E" w:rsidRPr="000E0D25">
        <w:t xml:space="preserve">, </w:t>
      </w:r>
      <w:r w:rsidRPr="000E0D25">
        <w:t xml:space="preserve">this </w:t>
      </w:r>
      <w:r w:rsidR="005A6526" w:rsidRPr="000E0D25">
        <w:t>is problematic as</w:t>
      </w:r>
      <w:r w:rsidRPr="000E0D25">
        <w:t xml:space="preserve"> </w:t>
      </w:r>
      <w:r w:rsidR="00B0062A" w:rsidRPr="000E0D25">
        <w:t>c</w:t>
      </w:r>
      <w:r w:rsidRPr="000E0D25">
        <w:t>onnecting</w:t>
      </w:r>
      <w:r w:rsidR="005F2E60" w:rsidRPr="000E0D25">
        <w:t xml:space="preserve"> the wage</w:t>
      </w:r>
      <w:r w:rsidRPr="000E0D25">
        <w:t xml:space="preserve"> and </w:t>
      </w:r>
      <w:r w:rsidR="005F2E60" w:rsidRPr="000E0D25">
        <w:t>FTE percentage</w:t>
      </w:r>
      <w:r w:rsidR="00B0062A" w:rsidRPr="000E0D25">
        <w:t xml:space="preserve"> </w:t>
      </w:r>
      <w:r w:rsidRPr="000E0D25">
        <w:t>become</w:t>
      </w:r>
      <w:r w:rsidR="005F2E60" w:rsidRPr="000E0D25">
        <w:t>s</w:t>
      </w:r>
      <w:r w:rsidRPr="000E0D25">
        <w:t xml:space="preserve"> </w:t>
      </w:r>
      <w:r w:rsidR="005A6526" w:rsidRPr="000E0D25">
        <w:t>challenging</w:t>
      </w:r>
      <w:r w:rsidRPr="000E0D25">
        <w:t xml:space="preserve">. </w:t>
      </w:r>
    </w:p>
    <w:p w14:paraId="63E72584" w14:textId="7230A828" w:rsidR="00EA6456" w:rsidRDefault="00373A3A" w:rsidP="00373A3A">
      <w:pPr>
        <w:pStyle w:val="Overskrift2"/>
      </w:pPr>
      <w:r>
        <w:t xml:space="preserve">Preparing data – cleaning and identifying </w:t>
      </w:r>
    </w:p>
    <w:p w14:paraId="29F5786E" w14:textId="072191D1" w:rsidR="007D0AE2" w:rsidRDefault="007D0AE2" w:rsidP="007D0AE2">
      <w:r>
        <w:t xml:space="preserve">When aiming to make </w:t>
      </w:r>
      <w:r w:rsidRPr="002B58D1">
        <w:t>use of a machine-learning</w:t>
      </w:r>
      <w:r w:rsidR="00851826">
        <w:t xml:space="preserve"> (ML)</w:t>
      </w:r>
      <w:r w:rsidRPr="002B58D1">
        <w:t xml:space="preserve"> algorithm</w:t>
      </w:r>
      <w:r>
        <w:t xml:space="preserve"> to improve data it is important to secure </w:t>
      </w:r>
      <w:proofErr w:type="gramStart"/>
      <w:r>
        <w:t>a sufficient</w:t>
      </w:r>
      <w:proofErr w:type="gramEnd"/>
      <w:r>
        <w:t xml:space="preserve"> level of quality in the </w:t>
      </w:r>
      <w:r w:rsidR="00BC7A77">
        <w:t xml:space="preserve">training </w:t>
      </w:r>
      <w:r>
        <w:t>data</w:t>
      </w:r>
      <w:r w:rsidR="00BC7A77">
        <w:t>set</w:t>
      </w:r>
      <w:r w:rsidRPr="002B58D1">
        <w:t>.</w:t>
      </w:r>
      <w:r>
        <w:t xml:space="preserve"> If the model is </w:t>
      </w:r>
      <w:r>
        <w:lastRenderedPageBreak/>
        <w:t xml:space="preserve">given </w:t>
      </w:r>
      <w:r w:rsidR="005A1BE3">
        <w:t xml:space="preserve">poor quality </w:t>
      </w:r>
      <w:r>
        <w:t xml:space="preserve">data, it will proceed and reproduce this substandard in the data you wish to improve, which we can agree is counterproductive. </w:t>
      </w:r>
    </w:p>
    <w:p w14:paraId="4919E2B6" w14:textId="13BE6567" w:rsidR="007D0AE2" w:rsidRPr="00AD2BD7" w:rsidRDefault="007D0AE2" w:rsidP="007D0AE2">
      <w:pPr>
        <w:rPr>
          <w:color w:val="FF0000"/>
        </w:rPr>
      </w:pPr>
      <w:r>
        <w:t>In the following</w:t>
      </w:r>
      <w:r w:rsidR="005A1BE3">
        <w:t>,</w:t>
      </w:r>
      <w:r>
        <w:t xml:space="preserve"> we focus on some of the most significant quality challenges and how they are overcome. In this process we also identify observations </w:t>
      </w:r>
      <w:r w:rsidR="002B58D1">
        <w:t xml:space="preserve">in the data </w:t>
      </w:r>
      <w:r>
        <w:t xml:space="preserve">that need improvement. </w:t>
      </w:r>
      <w:r w:rsidR="0052783A" w:rsidRPr="00AD2BD7">
        <w:rPr>
          <w:color w:val="FF0000"/>
        </w:rPr>
        <w:t xml:space="preserve"> </w:t>
      </w:r>
    </w:p>
    <w:p w14:paraId="0D752EC4" w14:textId="0A44DDF0" w:rsidR="00415B74" w:rsidRPr="000E0D25" w:rsidRDefault="007D0AE2" w:rsidP="007D0AE2">
      <w:r>
        <w:t xml:space="preserve">There are three main stages for identifying faulty data. For the rest of the paper we will use the terms qualified and disqualified observations </w:t>
      </w:r>
      <w:r w:rsidR="00875231">
        <w:t xml:space="preserve">to </w:t>
      </w:r>
      <w:r>
        <w:t>establish a distinction between observations to learn</w:t>
      </w:r>
      <w:r w:rsidR="00875231">
        <w:t xml:space="preserve"> </w:t>
      </w:r>
      <w:r w:rsidR="00876CE4">
        <w:t xml:space="preserve">from </w:t>
      </w:r>
      <w:r w:rsidR="00875231">
        <w:t xml:space="preserve">and observations that need to be </w:t>
      </w:r>
      <w:r w:rsidR="00876CE4">
        <w:t xml:space="preserve">discarded and </w:t>
      </w:r>
      <w:r w:rsidR="00875231">
        <w:t>predicted.</w:t>
      </w:r>
      <w:r w:rsidR="000E0D25">
        <w:t xml:space="preserve"> Disqualification does not immediately imply that the observation </w:t>
      </w:r>
      <w:r w:rsidR="00C660EB">
        <w:t xml:space="preserve">is </w:t>
      </w:r>
      <w:r w:rsidR="000E0D25">
        <w:t>wrong</w:t>
      </w:r>
      <w:r w:rsidR="00DF44F8">
        <w:t>, but indicates it is not representative and is excluded from the training dataset</w:t>
      </w:r>
      <w:r w:rsidR="000E0D25" w:rsidRPr="000E0D25">
        <w:t>.</w:t>
      </w:r>
      <w:r w:rsidR="00415B74" w:rsidRPr="000E0D25">
        <w:t xml:space="preserve"> </w:t>
      </w:r>
      <w:r w:rsidR="00337455" w:rsidRPr="000E0D25">
        <w:t xml:space="preserve">Before the qualification routine can be </w:t>
      </w:r>
      <w:r w:rsidR="00432601">
        <w:t>applied</w:t>
      </w:r>
      <w:r w:rsidR="00432601" w:rsidRPr="000E0D25">
        <w:t xml:space="preserve"> </w:t>
      </w:r>
      <w:r w:rsidR="00337455" w:rsidRPr="000E0D25">
        <w:t>however</w:t>
      </w:r>
      <w:r w:rsidR="003167CA" w:rsidRPr="000E0D25">
        <w:t>,</w:t>
      </w:r>
      <w:r w:rsidR="00337455" w:rsidRPr="000E0D25">
        <w:t xml:space="preserve"> a routine for tidying the reported data is necessary. </w:t>
      </w:r>
      <w:r w:rsidR="00883731" w:rsidRPr="000E0D25">
        <w:t>Note that t</w:t>
      </w:r>
      <w:r w:rsidR="002701D1" w:rsidRPr="000E0D25">
        <w:t>hese procedures</w:t>
      </w:r>
      <w:r w:rsidR="00063DBA" w:rsidRPr="000E0D25">
        <w:t>, both the qualifi</w:t>
      </w:r>
      <w:r w:rsidR="006B2CD7" w:rsidRPr="000E0D25">
        <w:t>cation routine and the tidying,</w:t>
      </w:r>
      <w:r w:rsidR="002701D1" w:rsidRPr="000E0D25">
        <w:t xml:space="preserve"> are important part</w:t>
      </w:r>
      <w:r w:rsidR="006B2CD7" w:rsidRPr="000E0D25">
        <w:t>s</w:t>
      </w:r>
      <w:r w:rsidR="002701D1" w:rsidRPr="000E0D25">
        <w:t xml:space="preserve"> of </w:t>
      </w:r>
      <w:r w:rsidR="006B2CD7" w:rsidRPr="000E0D25">
        <w:t xml:space="preserve">preparing the </w:t>
      </w:r>
      <w:r w:rsidR="002701D1" w:rsidRPr="000E0D25">
        <w:t xml:space="preserve">data for </w:t>
      </w:r>
      <w:r w:rsidR="00B45825" w:rsidRPr="000E0D25">
        <w:t xml:space="preserve">the final </w:t>
      </w:r>
      <w:r w:rsidR="002701D1" w:rsidRPr="000E0D25">
        <w:t>statistic</w:t>
      </w:r>
      <w:r w:rsidR="00B45825" w:rsidRPr="000E0D25">
        <w:t>al products</w:t>
      </w:r>
      <w:r w:rsidR="002701D1" w:rsidRPr="000E0D25">
        <w:t>, not just for the machine-learning.</w:t>
      </w:r>
    </w:p>
    <w:p w14:paraId="0CDB8DCA" w14:textId="631AFD70" w:rsidR="00DE3687" w:rsidRDefault="00DE3687" w:rsidP="00DE3687">
      <w:pPr>
        <w:pStyle w:val="Overskrift3"/>
      </w:pPr>
      <w:r>
        <w:t>Cleaning/tidying the reported data</w:t>
      </w:r>
    </w:p>
    <w:p w14:paraId="0D2BB5C0" w14:textId="1B75D559" w:rsidR="00C41CCF" w:rsidRDefault="00192A01" w:rsidP="00814A1C">
      <w:pPr>
        <w:pStyle w:val="Overskrift4"/>
      </w:pPr>
      <w:r>
        <w:t>Smoothening the wage rate</w:t>
      </w:r>
    </w:p>
    <w:p w14:paraId="2E12DF23" w14:textId="0F02F889" w:rsidR="00B11ED1" w:rsidRDefault="00D03923" w:rsidP="00192A01">
      <w:proofErr w:type="gramStart"/>
      <w:r>
        <w:t xml:space="preserve">In </w:t>
      </w:r>
      <w:r w:rsidR="0064291A">
        <w:t>order to</w:t>
      </w:r>
      <w:proofErr w:type="gramEnd"/>
      <w:r w:rsidR="0064291A">
        <w:t xml:space="preserve"> identify the fluctuations in the agreed FTE percentage </w:t>
      </w:r>
      <w:r>
        <w:t xml:space="preserve">we </w:t>
      </w:r>
      <w:r w:rsidR="0064291A">
        <w:t xml:space="preserve">do not </w:t>
      </w:r>
      <w:r>
        <w:t xml:space="preserve">want the </w:t>
      </w:r>
      <w:r w:rsidR="00FA781D">
        <w:t>basic monthly earnings</w:t>
      </w:r>
      <w:r>
        <w:t xml:space="preserve"> in the relevant period to contain payments for </w:t>
      </w:r>
      <w:r w:rsidR="00D4200D">
        <w:t>other periods</w:t>
      </w:r>
      <w:r>
        <w:t xml:space="preserve">. </w:t>
      </w:r>
      <w:r w:rsidR="00D4200D">
        <w:t xml:space="preserve">As mentioned in chapter 3, this </w:t>
      </w:r>
      <w:r w:rsidR="003951AB">
        <w:t xml:space="preserve">might </w:t>
      </w:r>
      <w:r w:rsidR="00D4200D">
        <w:t xml:space="preserve">occur in the data. </w:t>
      </w:r>
      <w:r w:rsidR="0064291A">
        <w:t>T</w:t>
      </w:r>
      <w:r w:rsidR="001340D1">
        <w:t>o correct for payments</w:t>
      </w:r>
      <w:r w:rsidR="00A0502F">
        <w:t xml:space="preserve"> in the current month that are </w:t>
      </w:r>
      <w:r w:rsidR="005B4C4F">
        <w:t xml:space="preserve">either </w:t>
      </w:r>
      <w:r w:rsidR="00A0502F">
        <w:t>connected to</w:t>
      </w:r>
      <w:r w:rsidR="00937AA6">
        <w:t xml:space="preserve"> </w:t>
      </w:r>
      <w:r w:rsidR="005B4C4F">
        <w:t>other</w:t>
      </w:r>
      <w:r w:rsidR="00937AA6">
        <w:t xml:space="preserve"> periods</w:t>
      </w:r>
      <w:r w:rsidR="001340D1">
        <w:t xml:space="preserve"> </w:t>
      </w:r>
      <w:r w:rsidR="00A0502F">
        <w:t xml:space="preserve">or corrections </w:t>
      </w:r>
      <w:r w:rsidR="00F24CEC">
        <w:t xml:space="preserve">for previous reporting, </w:t>
      </w:r>
      <w:r w:rsidR="001340D1">
        <w:t>we smooth the wage</w:t>
      </w:r>
      <w:r w:rsidR="00167D76">
        <w:t>/hourly</w:t>
      </w:r>
      <w:r w:rsidR="001340D1">
        <w:t xml:space="preserve"> rate for both fixed salary and </w:t>
      </w:r>
      <w:r w:rsidR="00C660EB">
        <w:t>pay</w:t>
      </w:r>
      <w:r w:rsidR="001340D1">
        <w:t xml:space="preserve"> by the hour</w:t>
      </w:r>
      <w:r w:rsidR="00F24CEC">
        <w:t>, hereby called wage rate</w:t>
      </w:r>
      <w:r w:rsidR="001340D1">
        <w:t>.</w:t>
      </w:r>
      <w:r w:rsidR="00192A01">
        <w:t xml:space="preserve"> </w:t>
      </w:r>
      <w:r w:rsidR="00167D76">
        <w:t xml:space="preserve">Smoothing implies using the wage rate from the </w:t>
      </w:r>
      <w:r w:rsidR="00FA781D">
        <w:t>following</w:t>
      </w:r>
      <w:r w:rsidR="00167D76">
        <w:t xml:space="preserve"> month instead of the current one. </w:t>
      </w:r>
      <w:r w:rsidR="005B4C4F">
        <w:t xml:space="preserve">The wage rate for the current month is compared to the wage rates of previous and next month </w:t>
      </w:r>
      <w:proofErr w:type="gramStart"/>
      <w:r w:rsidR="005B4C4F">
        <w:t>in order to</w:t>
      </w:r>
      <w:proofErr w:type="gramEnd"/>
      <w:r w:rsidR="005B4C4F">
        <w:t xml:space="preserve"> identify</w:t>
      </w:r>
      <w:r w:rsidR="005B4C4F" w:rsidRPr="000B240A">
        <w:t xml:space="preserve"> </w:t>
      </w:r>
      <w:r w:rsidR="005B4C4F">
        <w:t xml:space="preserve">possible irregularities, </w:t>
      </w:r>
      <w:r w:rsidR="008D1771">
        <w:t>in the form of</w:t>
      </w:r>
      <w:r w:rsidR="005B4C4F">
        <w:t xml:space="preserve"> either a peak or a drop in the wage rate for the current month</w:t>
      </w:r>
      <w:r w:rsidR="005801C5" w:rsidRPr="00B63FD6">
        <w:t>.</w:t>
      </w:r>
      <w:r w:rsidR="00672308">
        <w:t xml:space="preserve"> </w:t>
      </w:r>
      <w:r w:rsidR="008C52F0">
        <w:t>To prevent the use of extreme values from other periods</w:t>
      </w:r>
      <w:r w:rsidR="00767FC0">
        <w:t>,</w:t>
      </w:r>
      <w:r w:rsidR="008C52F0">
        <w:t xml:space="preserve"> it should be noted that before we replace the wage rate with next month’s</w:t>
      </w:r>
      <w:r w:rsidR="00767FC0">
        <w:t>,</w:t>
      </w:r>
      <w:r w:rsidR="008C52F0">
        <w:t xml:space="preserve"> we check that the number of working hours for employments </w:t>
      </w:r>
      <w:r w:rsidR="00573B2C">
        <w:t xml:space="preserve">is within a reasonable range. </w:t>
      </w:r>
      <w:r w:rsidR="00E869E3">
        <w:t xml:space="preserve">This range </w:t>
      </w:r>
      <w:r w:rsidR="000B240A">
        <w:t xml:space="preserve">corresponds to </w:t>
      </w:r>
      <w:r w:rsidR="000C2189">
        <w:t>an</w:t>
      </w:r>
      <w:r w:rsidR="001A7492">
        <w:t xml:space="preserve"> FTE percentage lower than 120. </w:t>
      </w:r>
    </w:p>
    <w:p w14:paraId="78017735" w14:textId="11B3E5D4" w:rsidR="00814A1C" w:rsidRPr="00814A1C" w:rsidRDefault="00814A1C" w:rsidP="00814A1C">
      <w:pPr>
        <w:pStyle w:val="Overskrift4"/>
      </w:pPr>
      <w:r>
        <w:lastRenderedPageBreak/>
        <w:t xml:space="preserve">Exclusion of </w:t>
      </w:r>
      <w:r w:rsidR="00D55C86">
        <w:t>extreme values</w:t>
      </w:r>
      <w:r>
        <w:t xml:space="preserve"> </w:t>
      </w:r>
    </w:p>
    <w:p w14:paraId="47ABC85B" w14:textId="4745639B" w:rsidR="00667454" w:rsidRDefault="00DE3687" w:rsidP="00667454">
      <w:r>
        <w:t xml:space="preserve">Inspired by </w:t>
      </w:r>
      <w:r w:rsidR="00667454">
        <w:t>an already existing method in the earnings statistics where outliers</w:t>
      </w:r>
      <w:r w:rsidR="00D55C86">
        <w:t>/extreme values</w:t>
      </w:r>
      <w:r w:rsidR="00667454">
        <w:t xml:space="preserve"> are identified and new values for earnings are imputed – we decided</w:t>
      </w:r>
      <w:r w:rsidR="00D45516">
        <w:t xml:space="preserve"> to exclude some outliers </w:t>
      </w:r>
      <w:r w:rsidR="00667454">
        <w:t>in this stage of the process. Outliers that we believe should not be replicated</w:t>
      </w:r>
      <w:r w:rsidR="00544F4D">
        <w:t>/reproduced</w:t>
      </w:r>
      <w:r w:rsidR="00667454">
        <w:t xml:space="preserve"> by </w:t>
      </w:r>
      <w:proofErr w:type="spellStart"/>
      <w:r w:rsidR="00667454">
        <w:t>XGBoost</w:t>
      </w:r>
      <w:proofErr w:type="spellEnd"/>
      <w:r w:rsidR="00544F4D">
        <w:t>,</w:t>
      </w:r>
      <w:r w:rsidR="00667454">
        <w:t xml:space="preserve"> due to high wage rates</w:t>
      </w:r>
      <w:r w:rsidR="00544F4D">
        <w:t>,</w:t>
      </w:r>
      <w:r w:rsidR="00667454">
        <w:t xml:space="preserve"> are therefore excluded from the </w:t>
      </w:r>
      <w:r w:rsidR="00544F4D">
        <w:t>model but</w:t>
      </w:r>
      <w:r w:rsidR="00203756">
        <w:t xml:space="preserve"> included in the final statistics</w:t>
      </w:r>
      <w:r w:rsidR="00C660EB">
        <w:t>, after a final outlier check</w:t>
      </w:r>
      <w:r w:rsidR="00203756">
        <w:t xml:space="preserve">. </w:t>
      </w:r>
      <w:r w:rsidR="00D55C86" w:rsidRPr="00663386">
        <w:t>Creating indicator variables for having a high wage rate, a high salary, and either of those two, respectively</w:t>
      </w:r>
      <w:r w:rsidR="00D55C86">
        <w:t>.</w:t>
      </w:r>
    </w:p>
    <w:p w14:paraId="3420DCED" w14:textId="73465057" w:rsidR="00105317" w:rsidRPr="009D6699" w:rsidRDefault="00667454" w:rsidP="00667454">
      <w:pPr>
        <w:pStyle w:val="Listeavsnitt"/>
        <w:numPr>
          <w:ilvl w:val="1"/>
          <w:numId w:val="6"/>
        </w:numPr>
      </w:pPr>
      <w:r w:rsidRPr="009D6699">
        <w:t xml:space="preserve">An </w:t>
      </w:r>
      <w:r w:rsidR="00105317" w:rsidRPr="009D6699">
        <w:t xml:space="preserve">hourly wage rate of above </w:t>
      </w:r>
      <w:r w:rsidR="00D45516" w:rsidRPr="009D6699">
        <w:t xml:space="preserve">1,000 </w:t>
      </w:r>
      <w:r w:rsidR="00105317" w:rsidRPr="009D6699">
        <w:t>NOK</w:t>
      </w:r>
      <w:r w:rsidR="007324B1">
        <w:t xml:space="preserve"> (105 EURO)</w:t>
      </w:r>
      <w:r w:rsidR="00105317" w:rsidRPr="009D6699">
        <w:t xml:space="preserve"> and/or</w:t>
      </w:r>
    </w:p>
    <w:p w14:paraId="15844206" w14:textId="5BD25077" w:rsidR="00D45516" w:rsidRPr="00105317" w:rsidRDefault="00105317" w:rsidP="00105317">
      <w:pPr>
        <w:pStyle w:val="Listeavsnitt"/>
        <w:numPr>
          <w:ilvl w:val="1"/>
          <w:numId w:val="6"/>
        </w:numPr>
      </w:pPr>
      <w:r w:rsidRPr="00105317">
        <w:t xml:space="preserve">Agreed wage rate (excluding </w:t>
      </w:r>
      <w:r w:rsidR="00A608A3">
        <w:t xml:space="preserve">fixed </w:t>
      </w:r>
      <w:r w:rsidR="00A608A3" w:rsidRPr="00A608A3">
        <w:t>additional allowances</w:t>
      </w:r>
      <w:r w:rsidR="00D45516" w:rsidRPr="00105317">
        <w:t xml:space="preserve">) </w:t>
      </w:r>
      <w:r w:rsidRPr="00105317">
        <w:t>a</w:t>
      </w:r>
      <w:r>
        <w:t>bove</w:t>
      </w:r>
      <w:r w:rsidR="00D45516" w:rsidRPr="00105317">
        <w:t xml:space="preserve"> 162,500</w:t>
      </w:r>
      <w:r>
        <w:t xml:space="preserve"> NOK</w:t>
      </w:r>
      <w:r w:rsidR="003D1B0E">
        <w:t xml:space="preserve"> (16,780 EURO)</w:t>
      </w:r>
      <w:r>
        <w:t xml:space="preserve"> per month</w:t>
      </w:r>
    </w:p>
    <w:p w14:paraId="1D798F33" w14:textId="62930821" w:rsidR="00DE3687" w:rsidRPr="00DE3687" w:rsidRDefault="003167CA" w:rsidP="003167CA">
      <w:pPr>
        <w:pStyle w:val="Overskrift4"/>
      </w:pPr>
      <w:r>
        <w:t>Corrections of the FTE percentage</w:t>
      </w:r>
    </w:p>
    <w:p w14:paraId="16D2312D" w14:textId="74FE5149" w:rsidR="002B74E1" w:rsidRDefault="003167CA" w:rsidP="007D0AE2">
      <w:r>
        <w:t>The last thing we do before the qualification routine</w:t>
      </w:r>
      <w:r w:rsidR="00184522">
        <w:t xml:space="preserve"> </w:t>
      </w:r>
      <w:r>
        <w:t xml:space="preserve">is to revise some of the reporting of the FTE percentage: </w:t>
      </w:r>
    </w:p>
    <w:p w14:paraId="0A5BBEC1" w14:textId="7E50C171" w:rsidR="008A7E5B" w:rsidRDefault="00FC7E87" w:rsidP="00493327">
      <w:pPr>
        <w:pStyle w:val="Listeavsnitt"/>
        <w:numPr>
          <w:ilvl w:val="0"/>
          <w:numId w:val="19"/>
        </w:numPr>
      </w:pPr>
      <w:r>
        <w:t xml:space="preserve">If </w:t>
      </w:r>
      <w:r w:rsidR="00F204D8">
        <w:t>the FTE</w:t>
      </w:r>
      <w:r>
        <w:t xml:space="preserve"> </w:t>
      </w:r>
      <w:r w:rsidR="00F204D8" w:rsidRPr="00EF1A91">
        <w:t>percentage</w:t>
      </w:r>
      <w:r w:rsidR="00F204D8">
        <w:t xml:space="preserve"> is</w:t>
      </w:r>
      <w:r>
        <w:t xml:space="preserve"> missing or equal to 0</w:t>
      </w:r>
      <w:r w:rsidR="002B74E1">
        <w:t xml:space="preserve"> the following </w:t>
      </w:r>
      <w:r w:rsidR="002A4261">
        <w:t>occurs:</w:t>
      </w:r>
    </w:p>
    <w:p w14:paraId="23E9A66C" w14:textId="4EDF3E92" w:rsidR="002B74E1" w:rsidRDefault="00D569D3" w:rsidP="00493327">
      <w:pPr>
        <w:pStyle w:val="Listeavsnitt"/>
        <w:numPr>
          <w:ilvl w:val="1"/>
          <w:numId w:val="19"/>
        </w:numPr>
      </w:pPr>
      <w:r>
        <w:t>T</w:t>
      </w:r>
      <w:r w:rsidR="004640E9">
        <w:t xml:space="preserve">he </w:t>
      </w:r>
      <w:r w:rsidR="00F204D8">
        <w:t>FTE percentage</w:t>
      </w:r>
      <w:r w:rsidR="004640E9">
        <w:t xml:space="preserve"> </w:t>
      </w:r>
      <w:r w:rsidR="00F204D8">
        <w:t xml:space="preserve">is </w:t>
      </w:r>
      <w:r w:rsidR="00447DB6">
        <w:t>set equal to</w:t>
      </w:r>
      <w:r w:rsidR="004640E9">
        <w:t xml:space="preserve"> the number of paid hours</w:t>
      </w:r>
      <w:r>
        <w:t xml:space="preserve"> for hourly paid employees</w:t>
      </w:r>
    </w:p>
    <w:p w14:paraId="5373513D" w14:textId="391CECE5" w:rsidR="004640E9" w:rsidRDefault="00D569D3" w:rsidP="00493327">
      <w:pPr>
        <w:pStyle w:val="Listeavsnitt"/>
        <w:numPr>
          <w:ilvl w:val="1"/>
          <w:numId w:val="19"/>
        </w:numPr>
      </w:pPr>
      <w:r>
        <w:t>T</w:t>
      </w:r>
      <w:r w:rsidR="004640E9">
        <w:t xml:space="preserve">he </w:t>
      </w:r>
      <w:r w:rsidR="00F204D8">
        <w:t xml:space="preserve">FTE </w:t>
      </w:r>
      <w:r w:rsidR="00F204D8" w:rsidRPr="00EF1A91">
        <w:t>percentage</w:t>
      </w:r>
      <w:r w:rsidR="004640E9">
        <w:t xml:space="preserve"> </w:t>
      </w:r>
      <w:r w:rsidR="00F204D8">
        <w:t xml:space="preserve">is </w:t>
      </w:r>
      <w:r w:rsidR="004640E9">
        <w:t xml:space="preserve">set </w:t>
      </w:r>
      <w:r w:rsidR="00F204D8">
        <w:t xml:space="preserve">equal </w:t>
      </w:r>
      <w:r w:rsidR="004640E9">
        <w:t xml:space="preserve">to 100 </w:t>
      </w:r>
      <w:r>
        <w:t>for employees with fixed regular pay</w:t>
      </w:r>
    </w:p>
    <w:p w14:paraId="2D207ADB" w14:textId="16B809F0" w:rsidR="004640E9" w:rsidRDefault="00F204D8" w:rsidP="00493327">
      <w:pPr>
        <w:pStyle w:val="Listeavsnitt"/>
        <w:numPr>
          <w:ilvl w:val="0"/>
          <w:numId w:val="19"/>
        </w:numPr>
      </w:pPr>
      <w:r>
        <w:t xml:space="preserve">If the FTE </w:t>
      </w:r>
      <w:r w:rsidRPr="00EF1A91">
        <w:t>percentage</w:t>
      </w:r>
      <w:r>
        <w:t xml:space="preserve"> surpass 120 it’s revised down to 120</w:t>
      </w:r>
    </w:p>
    <w:p w14:paraId="60AD9278" w14:textId="09A3D20E" w:rsidR="00DE3687" w:rsidRDefault="00DE3687" w:rsidP="003167CA">
      <w:pPr>
        <w:pStyle w:val="Overskrift3"/>
      </w:pPr>
      <w:r>
        <w:t>The qualification routine</w:t>
      </w:r>
    </w:p>
    <w:p w14:paraId="0BFE6404" w14:textId="196F5F74" w:rsidR="007D0AE2" w:rsidRDefault="006C7DC6" w:rsidP="007D0AE2">
      <w:r>
        <w:t xml:space="preserve">The data is now ready to be processed </w:t>
      </w:r>
      <w:r w:rsidR="00D167C0">
        <w:t>in</w:t>
      </w:r>
      <w:r w:rsidR="00F944F9">
        <w:t xml:space="preserve"> the </w:t>
      </w:r>
      <w:r w:rsidR="00EF7FD6">
        <w:t>qualification routine</w:t>
      </w:r>
      <w:r w:rsidR="00367616">
        <w:t>, which</w:t>
      </w:r>
      <w:r w:rsidR="00EF7FD6">
        <w:t xml:space="preserve"> consists of the following </w:t>
      </w:r>
      <w:r w:rsidR="005D319E">
        <w:t>checks</w:t>
      </w:r>
      <w:r w:rsidR="00EF7FD6">
        <w:t>:</w:t>
      </w:r>
    </w:p>
    <w:p w14:paraId="7EEA9024" w14:textId="77777777" w:rsidR="00CB4867" w:rsidRPr="00CB4867" w:rsidRDefault="00CB4867" w:rsidP="00CB4867">
      <w:r w:rsidRPr="00CB4867">
        <w:t>Check 1:</w:t>
      </w:r>
    </w:p>
    <w:p w14:paraId="07A8BF40" w14:textId="0A94084D" w:rsidR="00CB4867" w:rsidRPr="00CB4867" w:rsidRDefault="00CB4867" w:rsidP="00CB4867">
      <w:pPr>
        <w:numPr>
          <w:ilvl w:val="0"/>
          <w:numId w:val="7"/>
        </w:numPr>
      </w:pPr>
      <w:r w:rsidRPr="00CB4867">
        <w:t xml:space="preserve">This check is conducted for hourly paid employees and aims at establishing </w:t>
      </w:r>
      <w:r w:rsidR="00E507DE">
        <w:t xml:space="preserve">if the employment should keep its reported agreed hours, or if </w:t>
      </w:r>
      <w:r w:rsidRPr="00CB4867">
        <w:t>paid hours</w:t>
      </w:r>
      <w:r w:rsidR="00E507DE">
        <w:t xml:space="preserve"> should be used instead</w:t>
      </w:r>
      <w:r w:rsidRPr="00CB4867">
        <w:t xml:space="preserve">. </w:t>
      </w:r>
    </w:p>
    <w:p w14:paraId="6FBDABA0" w14:textId="2F5FCD6D" w:rsidR="00CB4867" w:rsidRPr="00CB4867" w:rsidRDefault="00CB4867" w:rsidP="00CB4867">
      <w:pPr>
        <w:numPr>
          <w:ilvl w:val="0"/>
          <w:numId w:val="7"/>
        </w:numPr>
      </w:pPr>
      <w:r w:rsidRPr="00CB4867">
        <w:t>A ratio model is utilized to identify extreme observations, the model is based on an iterative weighted linear regression</w:t>
      </w:r>
      <w:r w:rsidR="008A5250" w:rsidRPr="008A5250">
        <w:t xml:space="preserve"> </w:t>
      </w:r>
      <w:r w:rsidR="008A5250">
        <w:t>with stratification</w:t>
      </w:r>
      <w:r w:rsidRPr="00CB4867">
        <w:t>. If the relationship between paid hours and the reported agreed hours is extreme/an outlier</w:t>
      </w:r>
      <w:r w:rsidR="00D85016">
        <w:t>,</w:t>
      </w:r>
      <w:r w:rsidRPr="00CB4867">
        <w:t xml:space="preserve"> the </w:t>
      </w:r>
      <w:r w:rsidRPr="00CB4867">
        <w:lastRenderedPageBreak/>
        <w:t xml:space="preserve">observation is </w:t>
      </w:r>
      <w:r w:rsidR="009C1662">
        <w:t>marked as an extreme – but all observations continu</w:t>
      </w:r>
      <w:r w:rsidR="00D85016">
        <w:t>e</w:t>
      </w:r>
      <w:r w:rsidR="009C1662">
        <w:t xml:space="preserve"> to the next check before </w:t>
      </w:r>
      <w:r w:rsidR="002E7AB1">
        <w:t>possibly</w:t>
      </w:r>
      <w:r w:rsidR="009C1662">
        <w:t xml:space="preserve"> being </w:t>
      </w:r>
      <w:r w:rsidRPr="00CB4867">
        <w:t xml:space="preserve">disqualified.  </w:t>
      </w:r>
    </w:p>
    <w:p w14:paraId="394FAA99" w14:textId="5F3CCD00" w:rsidR="007D0AE2" w:rsidRDefault="005D319E" w:rsidP="007D0AE2">
      <w:r>
        <w:t xml:space="preserve">Check </w:t>
      </w:r>
      <w:r w:rsidR="00CB4867">
        <w:t>2</w:t>
      </w:r>
      <w:r w:rsidR="007D0AE2">
        <w:t>:</w:t>
      </w:r>
    </w:p>
    <w:p w14:paraId="4B34FC25" w14:textId="67C12B19" w:rsidR="006E5057" w:rsidRDefault="007D0AE2" w:rsidP="007D0AE2">
      <w:pPr>
        <w:pStyle w:val="Listeavsnitt"/>
        <w:numPr>
          <w:ilvl w:val="0"/>
          <w:numId w:val="7"/>
        </w:numPr>
        <w:jc w:val="left"/>
      </w:pPr>
      <w:r>
        <w:t>A l</w:t>
      </w:r>
      <w:r w:rsidRPr="0012013F">
        <w:t xml:space="preserve">ower </w:t>
      </w:r>
      <w:r w:rsidR="00FD06E3">
        <w:t xml:space="preserve">wage </w:t>
      </w:r>
      <w:r w:rsidRPr="0012013F">
        <w:t>threshold</w:t>
      </w:r>
      <w:r>
        <w:t xml:space="preserve"> is established through known lower boundaries. In Norway there is no minimum wage or all-encompassing rules that regulate such a boundary. However</w:t>
      </w:r>
      <w:r w:rsidR="00AD3EF9">
        <w:t>,</w:t>
      </w:r>
      <w:r>
        <w:t xml:space="preserve"> </w:t>
      </w:r>
      <w:r w:rsidR="006E5057">
        <w:t xml:space="preserve">our experience indicates </w:t>
      </w:r>
      <w:r w:rsidR="00FD06E3">
        <w:t xml:space="preserve">that </w:t>
      </w:r>
      <w:r w:rsidR="006E5057">
        <w:t>the following limits are reasonable</w:t>
      </w:r>
      <w:r w:rsidR="003F4367">
        <w:t xml:space="preserve"> for </w:t>
      </w:r>
      <w:r w:rsidR="00AD0D5A">
        <w:t xml:space="preserve">the </w:t>
      </w:r>
      <w:r w:rsidR="003F4367">
        <w:t>FTE wage</w:t>
      </w:r>
      <w:r w:rsidR="006E5057">
        <w:t xml:space="preserve">: </w:t>
      </w:r>
    </w:p>
    <w:p w14:paraId="405076F4" w14:textId="0FC99870" w:rsidR="007D0AE2" w:rsidRDefault="005E1528" w:rsidP="006E5057">
      <w:pPr>
        <w:pStyle w:val="Listeavsnitt"/>
        <w:numPr>
          <w:ilvl w:val="1"/>
          <w:numId w:val="7"/>
        </w:numPr>
        <w:jc w:val="left"/>
      </w:pPr>
      <w:r>
        <w:t>Less than 6</w:t>
      </w:r>
      <w:r w:rsidR="003D1B0E">
        <w:t>,</w:t>
      </w:r>
      <w:r>
        <w:t>000 NOK</w:t>
      </w:r>
      <w:r w:rsidR="00DD39A2">
        <w:t xml:space="preserve"> (</w:t>
      </w:r>
      <w:r w:rsidR="003D1B0E">
        <w:t xml:space="preserve">620 </w:t>
      </w:r>
      <w:r w:rsidR="00DD39A2">
        <w:t>EURO)</w:t>
      </w:r>
      <w:r>
        <w:t xml:space="preserve"> for apprentices </w:t>
      </w:r>
    </w:p>
    <w:p w14:paraId="389FD60A" w14:textId="793EDEF8" w:rsidR="005E1528" w:rsidRDefault="005E1528" w:rsidP="006E5057">
      <w:pPr>
        <w:pStyle w:val="Listeavsnitt"/>
        <w:numPr>
          <w:ilvl w:val="1"/>
          <w:numId w:val="7"/>
        </w:numPr>
        <w:jc w:val="left"/>
      </w:pPr>
      <w:r>
        <w:t>Less than 12</w:t>
      </w:r>
      <w:r w:rsidR="003D1B0E">
        <w:t>,</w:t>
      </w:r>
      <w:r>
        <w:t xml:space="preserve">000 NOK </w:t>
      </w:r>
      <w:r w:rsidR="00DD39A2">
        <w:t>(</w:t>
      </w:r>
      <w:r w:rsidR="00273F95">
        <w:t>1</w:t>
      </w:r>
      <w:r w:rsidR="003D1B0E">
        <w:t>,</w:t>
      </w:r>
      <w:r w:rsidR="00273F95">
        <w:t xml:space="preserve">240 </w:t>
      </w:r>
      <w:r w:rsidR="00DD39A2">
        <w:t xml:space="preserve">EURO) </w:t>
      </w:r>
      <w:r>
        <w:t>for workers younger than 18</w:t>
      </w:r>
      <w:r w:rsidR="00FB1A66">
        <w:t xml:space="preserve"> years</w:t>
      </w:r>
    </w:p>
    <w:p w14:paraId="10E502F3" w14:textId="76C8AB67" w:rsidR="005E1528" w:rsidRDefault="005E1528" w:rsidP="0071094D">
      <w:pPr>
        <w:pStyle w:val="Listeavsnitt"/>
        <w:numPr>
          <w:ilvl w:val="1"/>
          <w:numId w:val="7"/>
        </w:numPr>
        <w:jc w:val="left"/>
      </w:pPr>
      <w:r>
        <w:t>Less than 18</w:t>
      </w:r>
      <w:r w:rsidR="003D1B0E">
        <w:t>,</w:t>
      </w:r>
      <w:r>
        <w:t xml:space="preserve">000 NOK </w:t>
      </w:r>
      <w:r w:rsidR="00DD39A2">
        <w:t>(</w:t>
      </w:r>
      <w:r w:rsidR="003D1B0E">
        <w:t xml:space="preserve">1,860 </w:t>
      </w:r>
      <w:r w:rsidR="00DD39A2">
        <w:t xml:space="preserve">EURO) </w:t>
      </w:r>
      <w:r>
        <w:t>for all other</w:t>
      </w:r>
    </w:p>
    <w:p w14:paraId="69F035D2" w14:textId="7BF746C3" w:rsidR="007D0AE2" w:rsidRDefault="00FD06E3" w:rsidP="007D0AE2">
      <w:pPr>
        <w:pStyle w:val="Listeavsnitt"/>
        <w:numPr>
          <w:ilvl w:val="0"/>
          <w:numId w:val="7"/>
        </w:numPr>
        <w:jc w:val="left"/>
      </w:pPr>
      <w:r>
        <w:t>Lower and u</w:t>
      </w:r>
      <w:r w:rsidR="007D0AE2">
        <w:t>pper limits</w:t>
      </w:r>
      <w:r>
        <w:t xml:space="preserve"> for hourly paid employees</w:t>
      </w:r>
      <w:r w:rsidR="002B1AAE">
        <w:t xml:space="preserve"> are set </w:t>
      </w:r>
      <w:r>
        <w:t xml:space="preserve"> </w:t>
      </w:r>
    </w:p>
    <w:p w14:paraId="356EF97D" w14:textId="4CEB82B5" w:rsidR="00BB6101" w:rsidRDefault="00BB6101" w:rsidP="007D0AE2">
      <w:pPr>
        <w:pStyle w:val="Listeavsnitt"/>
        <w:numPr>
          <w:ilvl w:val="1"/>
          <w:numId w:val="7"/>
        </w:numPr>
        <w:jc w:val="left"/>
      </w:pPr>
      <w:r>
        <w:t>Lower limits are currently set for hourly paid employees at 100 NOK</w:t>
      </w:r>
      <w:r w:rsidR="00084619">
        <w:t xml:space="preserve"> (</w:t>
      </w:r>
      <w:r w:rsidR="001F6991">
        <w:t>10 EURO</w:t>
      </w:r>
      <w:r w:rsidR="00084619">
        <w:t>)</w:t>
      </w:r>
    </w:p>
    <w:p w14:paraId="214845AD" w14:textId="4B81C83C" w:rsidR="007D0AE2" w:rsidRPr="0012013F" w:rsidRDefault="007D0AE2" w:rsidP="0071094D">
      <w:pPr>
        <w:pStyle w:val="Listeavsnitt"/>
        <w:numPr>
          <w:ilvl w:val="1"/>
          <w:numId w:val="7"/>
        </w:numPr>
        <w:jc w:val="left"/>
      </w:pPr>
      <w:r>
        <w:t xml:space="preserve">Upper limits are set at </w:t>
      </w:r>
      <w:r w:rsidR="000577B2">
        <w:t>1</w:t>
      </w:r>
      <w:r>
        <w:t xml:space="preserve">000 NOK </w:t>
      </w:r>
      <w:r w:rsidR="00084619">
        <w:t>(</w:t>
      </w:r>
      <w:r w:rsidR="000577B2">
        <w:t>1</w:t>
      </w:r>
      <w:r>
        <w:t>05 EURO</w:t>
      </w:r>
      <w:r w:rsidR="00084619">
        <w:t>)</w:t>
      </w:r>
    </w:p>
    <w:p w14:paraId="2D177D3D" w14:textId="092F7F69" w:rsidR="007D0AE2" w:rsidRDefault="00FD1D2D" w:rsidP="007D0AE2">
      <w:r>
        <w:t xml:space="preserve">The disqualified observations are set aside </w:t>
      </w:r>
      <w:r>
        <w:t>for</w:t>
      </w:r>
      <w:r w:rsidR="00346F42">
        <w:t xml:space="preserve"> </w:t>
      </w:r>
      <w:r w:rsidR="00E14619">
        <w:t>i</w:t>
      </w:r>
      <w:r w:rsidR="00E14619">
        <w:t>mputation</w:t>
      </w:r>
      <w:r>
        <w:t xml:space="preserve">, while the qualified observations </w:t>
      </w:r>
      <w:r w:rsidR="000D1C30">
        <w:t>continue</w:t>
      </w:r>
      <w:r>
        <w:t xml:space="preserve"> to the next </w:t>
      </w:r>
      <w:r w:rsidR="00A53EB1">
        <w:t>checks</w:t>
      </w:r>
      <w:r>
        <w:t xml:space="preserve">. </w:t>
      </w:r>
    </w:p>
    <w:p w14:paraId="3755FE45" w14:textId="196040FC" w:rsidR="007D0AE2" w:rsidRDefault="005D319E" w:rsidP="007D0AE2">
      <w:r>
        <w:t xml:space="preserve">Check </w:t>
      </w:r>
      <w:r w:rsidR="007D0AE2">
        <w:t>3:</w:t>
      </w:r>
    </w:p>
    <w:p w14:paraId="79086106" w14:textId="4E2885AC" w:rsidR="007D0AE2" w:rsidRDefault="007D0AE2" w:rsidP="007D0AE2">
      <w:pPr>
        <w:pStyle w:val="Listeavsnitt"/>
        <w:numPr>
          <w:ilvl w:val="0"/>
          <w:numId w:val="7"/>
        </w:numPr>
        <w:jc w:val="left"/>
      </w:pPr>
      <w:r>
        <w:t>Is a</w:t>
      </w:r>
      <w:r w:rsidR="00BD7683">
        <w:t>n iterative linear regression</w:t>
      </w:r>
      <w:r>
        <w:t xml:space="preserve"> model that checks for </w:t>
      </w:r>
      <w:r w:rsidR="00C92D92">
        <w:t>outliers</w:t>
      </w:r>
      <w:r>
        <w:t xml:space="preserve"> in the relation between </w:t>
      </w:r>
      <w:r w:rsidR="00F677A9">
        <w:t>the</w:t>
      </w:r>
      <w:r w:rsidR="001C685A">
        <w:t xml:space="preserve"> dependent</w:t>
      </w:r>
      <w:r w:rsidR="00710A72">
        <w:t xml:space="preserve"> variable, the </w:t>
      </w:r>
      <w:r w:rsidR="00F677A9">
        <w:t xml:space="preserve">logarithm of </w:t>
      </w:r>
      <w:r w:rsidR="00171A21">
        <w:t xml:space="preserve">the FTE agreed/basic earnings </w:t>
      </w:r>
      <w:r>
        <w:t xml:space="preserve">and </w:t>
      </w:r>
      <w:r w:rsidR="00F677A9">
        <w:t xml:space="preserve">the </w:t>
      </w:r>
      <w:r>
        <w:t>log</w:t>
      </w:r>
      <w:r w:rsidR="00F677A9">
        <w:t xml:space="preserve">arithm of </w:t>
      </w:r>
      <w:r w:rsidR="00171A21">
        <w:t xml:space="preserve">agreed/basic </w:t>
      </w:r>
      <w:r>
        <w:t>earnings</w:t>
      </w:r>
      <w:r w:rsidR="00F677A9">
        <w:t>,</w:t>
      </w:r>
      <w:r>
        <w:t xml:space="preserve"> and other </w:t>
      </w:r>
      <w:r w:rsidR="00171A21">
        <w:t xml:space="preserve">explanatory </w:t>
      </w:r>
      <w:r>
        <w:t>variables</w:t>
      </w:r>
      <w:r w:rsidR="002602BF">
        <w:t xml:space="preserve"> such as occupation and sector</w:t>
      </w:r>
      <w:r>
        <w:t>. Observations that are judged to have to</w:t>
      </w:r>
      <w:r w:rsidR="00951CA2">
        <w:t>o</w:t>
      </w:r>
      <w:r>
        <w:t xml:space="preserve"> great a discrepancy are disqualified</w:t>
      </w:r>
      <w:r w:rsidR="003F42FB">
        <w:t xml:space="preserve"> and imputed using prediction from the </w:t>
      </w:r>
      <w:proofErr w:type="spellStart"/>
      <w:r w:rsidR="003F42FB">
        <w:t>XGBoost</w:t>
      </w:r>
      <w:proofErr w:type="spellEnd"/>
      <w:r w:rsidR="003F42FB">
        <w:t xml:space="preserve"> model</w:t>
      </w:r>
      <w:r>
        <w:t>.</w:t>
      </w:r>
    </w:p>
    <w:p w14:paraId="127AEAEC" w14:textId="78F311F1" w:rsidR="00CB6E47" w:rsidRDefault="006358C0" w:rsidP="007D0AE2">
      <w:r>
        <w:t>The results from the qualification routine are summarised in Table 1</w:t>
      </w:r>
      <w:r w:rsidR="004F2236">
        <w:t>, showing that the proportion which will be used for learning</w:t>
      </w:r>
      <w:r w:rsidR="004F2236">
        <w:t xml:space="preserve">, the </w:t>
      </w:r>
      <w:r w:rsidR="009E2D74">
        <w:t>ML-</w:t>
      </w:r>
      <w:r w:rsidR="004F2236">
        <w:t xml:space="preserve">method is </w:t>
      </w:r>
      <w:r w:rsidR="00336F22">
        <w:t>about</w:t>
      </w:r>
      <w:r w:rsidR="004F2236">
        <w:t xml:space="preserve"> 9</w:t>
      </w:r>
      <w:r w:rsidR="006C57D1">
        <w:t>3</w:t>
      </w:r>
      <w:r w:rsidR="004F2236">
        <w:t xml:space="preserve"> percent. </w:t>
      </w:r>
      <w:r w:rsidR="009E2D74">
        <w:t>While t</w:t>
      </w:r>
      <w:r w:rsidR="004F2236">
        <w:t xml:space="preserve">he proportion that are </w:t>
      </w:r>
      <w:proofErr w:type="spellStart"/>
      <w:r w:rsidR="00383819">
        <w:t>imputated</w:t>
      </w:r>
      <w:proofErr w:type="spellEnd"/>
      <w:r w:rsidR="00383819">
        <w:t xml:space="preserve"> using</w:t>
      </w:r>
      <w:r w:rsidR="00383819" w:rsidDel="00383819">
        <w:t xml:space="preserve"> </w:t>
      </w:r>
      <w:r w:rsidR="004F2236">
        <w:t xml:space="preserve">prediction by </w:t>
      </w:r>
      <w:proofErr w:type="spellStart"/>
      <w:r w:rsidR="004F2236">
        <w:t>XGBoost</w:t>
      </w:r>
      <w:proofErr w:type="spellEnd"/>
      <w:r w:rsidR="004F2236">
        <w:t xml:space="preserve"> is </w:t>
      </w:r>
      <w:r w:rsidR="008108EF">
        <w:t xml:space="preserve">close to </w:t>
      </w:r>
      <w:r w:rsidR="006C57D1">
        <w:t>7</w:t>
      </w:r>
      <w:r w:rsidR="004F2236">
        <w:t xml:space="preserve"> percent. </w:t>
      </w:r>
    </w:p>
    <w:p w14:paraId="2F763507" w14:textId="5375E671" w:rsidR="00373A3A" w:rsidRPr="00373A3A" w:rsidRDefault="007B3838" w:rsidP="007B3838">
      <w:pPr>
        <w:pStyle w:val="Bildetekst"/>
      </w:pPr>
      <w:r>
        <w:t xml:space="preserve">Table </w:t>
      </w:r>
      <w:r>
        <w:fldChar w:fldCharType="begin"/>
      </w:r>
      <w:r>
        <w:instrText xml:space="preserve"> SEQ Table \* ARABIC </w:instrText>
      </w:r>
      <w:r>
        <w:fldChar w:fldCharType="separate"/>
      </w:r>
      <w:r w:rsidR="0010249F">
        <w:rPr>
          <w:noProof/>
        </w:rPr>
        <w:t>1</w:t>
      </w:r>
      <w:r>
        <w:fldChar w:fldCharType="end"/>
      </w:r>
      <w:r>
        <w:t xml:space="preserve">. </w:t>
      </w:r>
      <w:r w:rsidRPr="007B3838">
        <w:t xml:space="preserve">Qualification results from </w:t>
      </w:r>
      <w:r w:rsidR="008C67F7">
        <w:t>September</w:t>
      </w:r>
      <w:r w:rsidR="008C67F7" w:rsidRPr="007B3838">
        <w:t xml:space="preserve"> </w:t>
      </w:r>
      <w:r w:rsidRPr="007B3838">
        <w:t>2018 (N=</w:t>
      </w:r>
      <w:r w:rsidR="00EE2A91">
        <w:t>2,762,0</w:t>
      </w:r>
      <w:r w:rsidR="00E25996">
        <w:t>30</w:t>
      </w:r>
      <w:r w:rsidR="003D076C">
        <w:t xml:space="preserve"> </w:t>
      </w:r>
      <w:r w:rsidRPr="007B3838">
        <w:t>observations) per cent of total</w:t>
      </w:r>
    </w:p>
    <w:tbl>
      <w:tblPr>
        <w:tblStyle w:val="Tabellrutenett"/>
        <w:tblW w:w="9119" w:type="dxa"/>
        <w:tblLook w:val="04A0" w:firstRow="1" w:lastRow="0" w:firstColumn="1" w:lastColumn="0" w:noHBand="0" w:noVBand="1"/>
      </w:tblPr>
      <w:tblGrid>
        <w:gridCol w:w="4531"/>
        <w:gridCol w:w="2127"/>
        <w:gridCol w:w="2461"/>
      </w:tblGrid>
      <w:tr w:rsidR="007B3838" w14:paraId="175785AD" w14:textId="77777777" w:rsidTr="00E35ED2">
        <w:trPr>
          <w:cantSplit/>
          <w:trHeight w:val="227"/>
        </w:trPr>
        <w:tc>
          <w:tcPr>
            <w:tcW w:w="4531" w:type="dxa"/>
            <w:tcBorders>
              <w:top w:val="single" w:sz="4" w:space="0" w:color="auto"/>
              <w:left w:val="single" w:sz="4" w:space="0" w:color="auto"/>
              <w:bottom w:val="single" w:sz="4" w:space="0" w:color="auto"/>
              <w:right w:val="single" w:sz="4" w:space="0" w:color="auto"/>
            </w:tcBorders>
            <w:hideMark/>
          </w:tcPr>
          <w:p w14:paraId="5B13F054" w14:textId="32243E8B" w:rsidR="007B3838" w:rsidRDefault="007B3838" w:rsidP="00A32C9E"/>
        </w:tc>
        <w:tc>
          <w:tcPr>
            <w:tcW w:w="2127" w:type="dxa"/>
            <w:tcBorders>
              <w:top w:val="single" w:sz="4" w:space="0" w:color="auto"/>
              <w:left w:val="single" w:sz="4" w:space="0" w:color="auto"/>
              <w:bottom w:val="single" w:sz="4" w:space="0" w:color="auto"/>
              <w:right w:val="single" w:sz="4" w:space="0" w:color="auto"/>
            </w:tcBorders>
            <w:hideMark/>
          </w:tcPr>
          <w:p w14:paraId="26F7BE07" w14:textId="4E1B7E0F" w:rsidR="007B3838" w:rsidRDefault="007B3838" w:rsidP="00A32C9E">
            <w:r>
              <w:t>Qualified</w:t>
            </w:r>
          </w:p>
        </w:tc>
        <w:tc>
          <w:tcPr>
            <w:tcW w:w="2461" w:type="dxa"/>
            <w:tcBorders>
              <w:top w:val="single" w:sz="4" w:space="0" w:color="auto"/>
              <w:left w:val="single" w:sz="4" w:space="0" w:color="auto"/>
              <w:bottom w:val="single" w:sz="4" w:space="0" w:color="auto"/>
              <w:right w:val="single" w:sz="4" w:space="0" w:color="auto"/>
            </w:tcBorders>
            <w:hideMark/>
          </w:tcPr>
          <w:p w14:paraId="0941E185" w14:textId="0D70C417" w:rsidR="007B3838" w:rsidRDefault="007B3838" w:rsidP="00A32C9E">
            <w:r>
              <w:t>Disqualified</w:t>
            </w:r>
            <w:r w:rsidR="0088094D">
              <w:rPr>
                <w:rStyle w:val="Fotnotereferanse"/>
              </w:rPr>
              <w:footnoteReference w:id="2"/>
            </w:r>
          </w:p>
        </w:tc>
      </w:tr>
      <w:tr w:rsidR="007B3838" w14:paraId="5369DD98" w14:textId="77777777" w:rsidTr="00E35ED2">
        <w:trPr>
          <w:cantSplit/>
          <w:trHeight w:val="227"/>
        </w:trPr>
        <w:tc>
          <w:tcPr>
            <w:tcW w:w="4531" w:type="dxa"/>
            <w:tcBorders>
              <w:top w:val="single" w:sz="4" w:space="0" w:color="auto"/>
              <w:left w:val="single" w:sz="4" w:space="0" w:color="auto"/>
              <w:bottom w:val="single" w:sz="4" w:space="0" w:color="auto"/>
              <w:right w:val="single" w:sz="4" w:space="0" w:color="auto"/>
            </w:tcBorders>
            <w:hideMark/>
          </w:tcPr>
          <w:p w14:paraId="13AFFC1E" w14:textId="75F42548" w:rsidR="007B3838" w:rsidRDefault="0002643E" w:rsidP="0002643E">
            <w:pPr>
              <w:jc w:val="left"/>
            </w:pPr>
            <w:r w:rsidRPr="0002643E">
              <w:lastRenderedPageBreak/>
              <w:t>Employees with fixed regular pay</w:t>
            </w:r>
          </w:p>
        </w:tc>
        <w:tc>
          <w:tcPr>
            <w:tcW w:w="2127" w:type="dxa"/>
            <w:tcBorders>
              <w:top w:val="single" w:sz="4" w:space="0" w:color="auto"/>
              <w:left w:val="single" w:sz="4" w:space="0" w:color="auto"/>
              <w:bottom w:val="single" w:sz="4" w:space="0" w:color="auto"/>
              <w:right w:val="single" w:sz="4" w:space="0" w:color="auto"/>
            </w:tcBorders>
            <w:hideMark/>
          </w:tcPr>
          <w:p w14:paraId="6167BC33" w14:textId="200445F6" w:rsidR="007B3838" w:rsidRDefault="0048313D" w:rsidP="00A32C9E">
            <w:r>
              <w:t>65,0</w:t>
            </w:r>
          </w:p>
        </w:tc>
        <w:tc>
          <w:tcPr>
            <w:tcW w:w="2461" w:type="dxa"/>
            <w:tcBorders>
              <w:top w:val="single" w:sz="4" w:space="0" w:color="auto"/>
              <w:left w:val="single" w:sz="4" w:space="0" w:color="auto"/>
              <w:bottom w:val="single" w:sz="4" w:space="0" w:color="auto"/>
              <w:right w:val="single" w:sz="4" w:space="0" w:color="auto"/>
            </w:tcBorders>
            <w:hideMark/>
          </w:tcPr>
          <w:p w14:paraId="63ABDE4C" w14:textId="00473927" w:rsidR="007B3838" w:rsidRDefault="0048313D" w:rsidP="00A32C9E">
            <w:r>
              <w:t>3,</w:t>
            </w:r>
            <w:r w:rsidR="00A45C37">
              <w:t>7</w:t>
            </w:r>
          </w:p>
        </w:tc>
      </w:tr>
      <w:tr w:rsidR="007B3838" w14:paraId="45C476BD" w14:textId="77777777" w:rsidTr="00E35ED2">
        <w:trPr>
          <w:cantSplit/>
          <w:trHeight w:val="227"/>
        </w:trPr>
        <w:tc>
          <w:tcPr>
            <w:tcW w:w="4531" w:type="dxa"/>
            <w:tcBorders>
              <w:top w:val="single" w:sz="4" w:space="0" w:color="auto"/>
              <w:left w:val="single" w:sz="4" w:space="0" w:color="auto"/>
              <w:bottom w:val="single" w:sz="4" w:space="0" w:color="auto"/>
              <w:right w:val="single" w:sz="4" w:space="0" w:color="auto"/>
            </w:tcBorders>
            <w:hideMark/>
          </w:tcPr>
          <w:p w14:paraId="1F66F560" w14:textId="637C3173" w:rsidR="007B3838" w:rsidRDefault="0002643E" w:rsidP="0002643E">
            <w:pPr>
              <w:jc w:val="left"/>
            </w:pPr>
            <w:r>
              <w:t>Employees with hourly wages</w:t>
            </w:r>
          </w:p>
        </w:tc>
        <w:tc>
          <w:tcPr>
            <w:tcW w:w="2127" w:type="dxa"/>
            <w:tcBorders>
              <w:top w:val="single" w:sz="4" w:space="0" w:color="auto"/>
              <w:left w:val="single" w:sz="4" w:space="0" w:color="auto"/>
              <w:bottom w:val="single" w:sz="4" w:space="0" w:color="auto"/>
              <w:right w:val="single" w:sz="4" w:space="0" w:color="auto"/>
            </w:tcBorders>
            <w:hideMark/>
          </w:tcPr>
          <w:p w14:paraId="4BE01F98" w14:textId="5EFCA823" w:rsidR="007B3838" w:rsidRDefault="0048313D" w:rsidP="00A32C9E">
            <w:r>
              <w:t>27,5</w:t>
            </w:r>
          </w:p>
        </w:tc>
        <w:tc>
          <w:tcPr>
            <w:tcW w:w="2461" w:type="dxa"/>
            <w:tcBorders>
              <w:top w:val="single" w:sz="4" w:space="0" w:color="auto"/>
              <w:left w:val="single" w:sz="4" w:space="0" w:color="auto"/>
              <w:bottom w:val="single" w:sz="4" w:space="0" w:color="auto"/>
              <w:right w:val="single" w:sz="4" w:space="0" w:color="auto"/>
            </w:tcBorders>
            <w:hideMark/>
          </w:tcPr>
          <w:p w14:paraId="7028DB24" w14:textId="3FBFD9BE" w:rsidR="007B3838" w:rsidRDefault="0048313D" w:rsidP="00A32C9E">
            <w:r>
              <w:t>3,</w:t>
            </w:r>
            <w:r w:rsidR="00A45C37">
              <w:t>8</w:t>
            </w:r>
          </w:p>
        </w:tc>
      </w:tr>
      <w:tr w:rsidR="007B3838" w14:paraId="7E4864B1" w14:textId="77777777" w:rsidTr="00E35ED2">
        <w:trPr>
          <w:cantSplit/>
          <w:trHeight w:val="227"/>
        </w:trPr>
        <w:tc>
          <w:tcPr>
            <w:tcW w:w="4531" w:type="dxa"/>
            <w:tcBorders>
              <w:top w:val="single" w:sz="4" w:space="0" w:color="auto"/>
              <w:left w:val="single" w:sz="4" w:space="0" w:color="auto"/>
              <w:bottom w:val="single" w:sz="4" w:space="0" w:color="auto"/>
              <w:right w:val="single" w:sz="4" w:space="0" w:color="auto"/>
            </w:tcBorders>
            <w:hideMark/>
          </w:tcPr>
          <w:p w14:paraId="1D0BFFA3" w14:textId="36E15B21" w:rsidR="007B3838" w:rsidRDefault="0002643E" w:rsidP="00A32C9E">
            <w:r>
              <w:t>Totals</w:t>
            </w:r>
          </w:p>
        </w:tc>
        <w:tc>
          <w:tcPr>
            <w:tcW w:w="2127" w:type="dxa"/>
            <w:tcBorders>
              <w:top w:val="single" w:sz="4" w:space="0" w:color="auto"/>
              <w:left w:val="single" w:sz="4" w:space="0" w:color="auto"/>
              <w:bottom w:val="single" w:sz="4" w:space="0" w:color="auto"/>
              <w:right w:val="single" w:sz="4" w:space="0" w:color="auto"/>
            </w:tcBorders>
            <w:hideMark/>
          </w:tcPr>
          <w:p w14:paraId="705AD4EC" w14:textId="1DCB2248" w:rsidR="007B3838" w:rsidRDefault="0002643E" w:rsidP="00A32C9E">
            <w:r w:rsidRPr="0002643E">
              <w:t>92,</w:t>
            </w:r>
            <w:r w:rsidR="0048313D">
              <w:t>5</w:t>
            </w:r>
          </w:p>
        </w:tc>
        <w:tc>
          <w:tcPr>
            <w:tcW w:w="2461" w:type="dxa"/>
            <w:tcBorders>
              <w:top w:val="single" w:sz="4" w:space="0" w:color="auto"/>
              <w:left w:val="single" w:sz="4" w:space="0" w:color="auto"/>
              <w:bottom w:val="single" w:sz="4" w:space="0" w:color="auto"/>
              <w:right w:val="single" w:sz="4" w:space="0" w:color="auto"/>
            </w:tcBorders>
            <w:hideMark/>
          </w:tcPr>
          <w:p w14:paraId="67A7513A" w14:textId="65790309" w:rsidR="007B3838" w:rsidRDefault="0002643E" w:rsidP="00A32C9E">
            <w:r>
              <w:t>7,</w:t>
            </w:r>
            <w:r w:rsidR="00A45C37">
              <w:t>5</w:t>
            </w:r>
          </w:p>
        </w:tc>
      </w:tr>
    </w:tbl>
    <w:p w14:paraId="3A4BC812" w14:textId="144B9F42" w:rsidR="007B3838" w:rsidRDefault="007B3838" w:rsidP="007B3838">
      <w:r>
        <w:t>Source:</w:t>
      </w:r>
      <w:r w:rsidR="0002643E">
        <w:t xml:space="preserve"> </w:t>
      </w:r>
      <w:r w:rsidR="000A6C20">
        <w:t>Statistics Norway</w:t>
      </w:r>
    </w:p>
    <w:p w14:paraId="31D579C6" w14:textId="77777777" w:rsidR="002079A1" w:rsidRDefault="002079A1" w:rsidP="007B3838"/>
    <w:p w14:paraId="35972201" w14:textId="571FB68D" w:rsidR="00EA6456" w:rsidRDefault="006F5050" w:rsidP="006F5050">
      <w:pPr>
        <w:pStyle w:val="Overskrift2"/>
        <w:rPr>
          <w:lang w:val="en-US"/>
        </w:rPr>
      </w:pPr>
      <w:r>
        <w:rPr>
          <w:lang w:val="en-US"/>
        </w:rPr>
        <w:t xml:space="preserve">Use of </w:t>
      </w:r>
      <w:proofErr w:type="spellStart"/>
      <w:r>
        <w:rPr>
          <w:lang w:val="en-US"/>
        </w:rPr>
        <w:t>XGBoost</w:t>
      </w:r>
      <w:proofErr w:type="spellEnd"/>
    </w:p>
    <w:p w14:paraId="27A5832B" w14:textId="62A80259" w:rsidR="006F5050" w:rsidRDefault="006F5050" w:rsidP="006F5050">
      <w:r>
        <w:t xml:space="preserve">The basic needs or reasons for </w:t>
      </w:r>
      <w:r>
        <w:t xml:space="preserve">employing </w:t>
      </w:r>
      <w:r w:rsidR="000948B4">
        <w:t xml:space="preserve">imputation using </w:t>
      </w:r>
      <w:r>
        <w:t>machine learning is to improve data</w:t>
      </w:r>
      <w:r w:rsidR="00EB6A00">
        <w:t xml:space="preserve"> quality</w:t>
      </w:r>
      <w:r>
        <w:t xml:space="preserve">. Either you wish to improve </w:t>
      </w:r>
      <w:r>
        <w:t xml:space="preserve">inaccurate or false data or predict partial non-existent data. For this reason, the </w:t>
      </w:r>
      <w:r w:rsidR="004F0649">
        <w:t>training</w:t>
      </w:r>
      <w:r>
        <w:t xml:space="preserve"> </w:t>
      </w:r>
      <w:proofErr w:type="gramStart"/>
      <w:r>
        <w:t>has to</w:t>
      </w:r>
      <w:proofErr w:type="gramEnd"/>
      <w:r>
        <w:t xml:space="preserve"> be based on the best data you can lay your hands on. Identifying or cornering in this crucial element can prove just as daunting a task as compiling and producing the actual </w:t>
      </w:r>
      <w:r>
        <w:t>statistic</w:t>
      </w:r>
      <w:r w:rsidR="00A45C37">
        <w:t>s.</w:t>
      </w:r>
    </w:p>
    <w:p w14:paraId="13A5E04A" w14:textId="77777777" w:rsidR="006F5050" w:rsidRDefault="006F5050" w:rsidP="006F5050">
      <w:r>
        <w:t xml:space="preserve">Why then bother, you could ask. It is the answer to this question that also presents itself as the strength of machine learning. </w:t>
      </w:r>
      <w:proofErr w:type="gramStart"/>
      <w:r>
        <w:t>As long as</w:t>
      </w:r>
      <w:proofErr w:type="gramEnd"/>
      <w:r>
        <w:t xml:space="preserve"> you nurture and update your model appropriately it will improve the production process and reduce the future workload and hopefully provide consistent predictions from one period to another. Investing in the future in other words. </w:t>
      </w:r>
    </w:p>
    <w:p w14:paraId="5D9A3E4A" w14:textId="704E033D" w:rsidR="006F5050" w:rsidRDefault="006F5050" w:rsidP="006F5050">
      <w:r>
        <w:t>There are several machine learning tools to choose from</w:t>
      </w:r>
      <w:r w:rsidR="009545F2">
        <w:t xml:space="preserve"> for imputation,</w:t>
      </w:r>
      <w:r>
        <w:t xml:space="preserve"> that have their strengths and weaknesses. At any rat</w:t>
      </w:r>
      <w:r>
        <w:t>e</w:t>
      </w:r>
      <w:r w:rsidR="00173948">
        <w:t>,</w:t>
      </w:r>
      <w:r>
        <w:t xml:space="preserve"> </w:t>
      </w:r>
      <w:r>
        <w:t xml:space="preserve">the aim is always to choose a model that is best suited for solving the </w:t>
      </w:r>
      <w:proofErr w:type="gramStart"/>
      <w:r>
        <w:t>particular problem</w:t>
      </w:r>
      <w:proofErr w:type="gramEnd"/>
      <w:r>
        <w:t xml:space="preserve"> at hand. A small </w:t>
      </w:r>
      <w:r w:rsidR="00E6735F">
        <w:t xml:space="preserve">number </w:t>
      </w:r>
      <w:r>
        <w:t>of related models were initially viewed as relevant</w:t>
      </w:r>
      <w:r w:rsidR="003F79DF">
        <w:t>,</w:t>
      </w:r>
      <w:r>
        <w:t xml:space="preserve"> amongst these </w:t>
      </w:r>
      <w:r w:rsidRPr="004F0649">
        <w:t>were Random Forest, Gradient Boosting Decision Trees and Extreme Gradient Boosted Decision Trees</w:t>
      </w:r>
      <w:r w:rsidR="0023473D" w:rsidRPr="004F0649">
        <w:t xml:space="preserve"> (</w:t>
      </w:r>
      <w:proofErr w:type="spellStart"/>
      <w:r w:rsidR="00E53C3C" w:rsidRPr="004F0649">
        <w:t>XGB</w:t>
      </w:r>
      <w:r w:rsidRPr="004F0649">
        <w:t>oost</w:t>
      </w:r>
      <w:proofErr w:type="spellEnd"/>
      <w:r w:rsidR="0023473D" w:rsidRPr="004F0649">
        <w:t>)</w:t>
      </w:r>
      <w:r w:rsidRPr="004F0649">
        <w:t xml:space="preserve">, </w:t>
      </w:r>
      <w:r>
        <w:t>which was ou</w:t>
      </w:r>
      <w:r w:rsidR="009C5C3E">
        <w:t>r</w:t>
      </w:r>
      <w:r>
        <w:t xml:space="preserve"> final choice. The model itself is based on the fundamentals from so called decision trees</w:t>
      </w:r>
      <w:r w:rsidR="009C5C3E">
        <w:t>.</w:t>
      </w:r>
    </w:p>
    <w:p w14:paraId="76AB1A8F" w14:textId="5CC5D0EF" w:rsidR="006F5050" w:rsidRDefault="006F5050" w:rsidP="006F5050">
      <w:r>
        <w:t>As earlier stated this paper will not aim to describe this model</w:t>
      </w:r>
      <w:r w:rsidR="00842AFE">
        <w:t>,</w:t>
      </w:r>
      <w:r>
        <w:t xml:space="preserve"> </w:t>
      </w:r>
      <w:r>
        <w:t>technically or mathematically</w:t>
      </w:r>
      <w:r w:rsidR="00842AFE">
        <w:t>,</w:t>
      </w:r>
      <w:r>
        <w:t xml:space="preserve"> but rather present its utility. We therefore more or less treat the model </w:t>
      </w:r>
      <w:r w:rsidR="004E3EA8">
        <w:t>itself</w:t>
      </w:r>
      <w:r>
        <w:t xml:space="preserve"> as a black box and rather emphasize how to identify and establish the relevant</w:t>
      </w:r>
      <w:r w:rsidR="00842AFE">
        <w:t xml:space="preserve"> training</w:t>
      </w:r>
      <w:r>
        <w:t xml:space="preserve"> data, and thereby also test data, and presenting some consequences of making </w:t>
      </w:r>
      <w:r>
        <w:t xml:space="preserve">use of </w:t>
      </w:r>
      <w:r w:rsidR="009A4A86">
        <w:t xml:space="preserve">training </w:t>
      </w:r>
      <w:r>
        <w:t xml:space="preserve">data that </w:t>
      </w:r>
      <w:r>
        <w:t>are inadequate or substandard.</w:t>
      </w:r>
    </w:p>
    <w:p w14:paraId="02004D2B" w14:textId="1B216767" w:rsidR="00EA6456" w:rsidRDefault="00255BAF" w:rsidP="00255BAF">
      <w:pPr>
        <w:pStyle w:val="Overskrift3"/>
        <w:rPr>
          <w:lang w:val="en-US"/>
        </w:rPr>
      </w:pPr>
      <w:r>
        <w:rPr>
          <w:lang w:val="en-US"/>
        </w:rPr>
        <w:lastRenderedPageBreak/>
        <w:t>Practical use</w:t>
      </w:r>
    </w:p>
    <w:p w14:paraId="11468F37" w14:textId="2BED43E2" w:rsidR="008A4941" w:rsidRPr="00F4476E" w:rsidRDefault="008A4941" w:rsidP="008A4941">
      <w:r w:rsidRPr="00F4476E">
        <w:t xml:space="preserve">Of a total of </w:t>
      </w:r>
      <w:r w:rsidR="00861808">
        <w:t xml:space="preserve">2,555,968 </w:t>
      </w:r>
      <w:r w:rsidR="006D78C8" w:rsidRPr="00F4476E">
        <w:t xml:space="preserve">qualified </w:t>
      </w:r>
      <w:r w:rsidRPr="00F4476E">
        <w:t xml:space="preserve">observations 20 per cent are drawn from this total randomly and are to be used as dedicated test data. </w:t>
      </w:r>
      <w:r w:rsidRPr="00F4476E">
        <w:t>The 80 per cent left</w:t>
      </w:r>
      <w:r w:rsidR="00A27680">
        <w:t xml:space="preserve"> provide the training</w:t>
      </w:r>
      <w:r w:rsidRPr="00F4476E">
        <w:t xml:space="preserve"> data. </w:t>
      </w:r>
    </w:p>
    <w:p w14:paraId="6767C371" w14:textId="2FE654DA" w:rsidR="008A4941" w:rsidRPr="00F12974" w:rsidRDefault="0023473D" w:rsidP="008A4941">
      <w:r>
        <w:t>When</w:t>
      </w:r>
      <w:r w:rsidR="008A4941" w:rsidRPr="00F12974">
        <w:t xml:space="preserve"> </w:t>
      </w:r>
      <w:proofErr w:type="spellStart"/>
      <w:r w:rsidR="00BF258E">
        <w:t>XGB</w:t>
      </w:r>
      <w:r>
        <w:t>oost</w:t>
      </w:r>
      <w:proofErr w:type="spellEnd"/>
      <w:r>
        <w:t xml:space="preserve"> is applied</w:t>
      </w:r>
      <w:r w:rsidR="00A5511B">
        <w:t>,</w:t>
      </w:r>
      <w:r>
        <w:t xml:space="preserve"> several </w:t>
      </w:r>
      <w:r>
        <w:t>parameters</w:t>
      </w:r>
      <w:r w:rsidR="00A40846">
        <w:t xml:space="preserve"> are </w:t>
      </w:r>
      <w:proofErr w:type="gramStart"/>
      <w:r w:rsidR="00A40846">
        <w:t>set</w:t>
      </w:r>
      <w:proofErr w:type="gramEnd"/>
      <w:r>
        <w:t xml:space="preserve"> and specifications </w:t>
      </w:r>
      <w:r w:rsidR="008A4941" w:rsidRPr="00F12974">
        <w:t xml:space="preserve">of selected variables </w:t>
      </w:r>
      <w:r w:rsidR="00A40846">
        <w:t>are</w:t>
      </w:r>
      <w:r w:rsidR="008A4941" w:rsidRPr="00F12974">
        <w:t xml:space="preserve"> constructed</w:t>
      </w:r>
      <w:r w:rsidR="002A3E0F">
        <w:t xml:space="preserve"> (</w:t>
      </w:r>
      <w:r w:rsidR="007C33F6" w:rsidRPr="006E2EFB">
        <w:rPr>
          <w:lang w:val="en-US"/>
        </w:rPr>
        <w:t>Xgboost.readthedocs.io</w:t>
      </w:r>
      <w:r w:rsidR="007C33F6">
        <w:rPr>
          <w:lang w:val="en-US"/>
        </w:rPr>
        <w:t>, 2019</w:t>
      </w:r>
      <w:r w:rsidR="00B24DE5">
        <w:rPr>
          <w:lang w:val="en-US"/>
        </w:rPr>
        <w:t>)</w:t>
      </w:r>
      <w:r w:rsidR="00B24DE5">
        <w:t>.</w:t>
      </w:r>
      <w:r w:rsidR="008A4941" w:rsidRPr="00F12974">
        <w:t xml:space="preserve"> </w:t>
      </w:r>
      <w:r>
        <w:t>Most importantly</w:t>
      </w:r>
      <w:r w:rsidR="00607449">
        <w:t>,</w:t>
      </w:r>
      <w:r>
        <w:t xml:space="preserve"> variables that are going to be used for “growing trees”/establish patterns for predicting values</w:t>
      </w:r>
      <w:r w:rsidR="00FC7923">
        <w:t xml:space="preserve"> are chosen:</w:t>
      </w:r>
      <w:r>
        <w:t xml:space="preserve">   </w:t>
      </w:r>
    </w:p>
    <w:p w14:paraId="12C1A2AA" w14:textId="77777777" w:rsidR="008A4941" w:rsidRDefault="008A4941" w:rsidP="00E57209">
      <w:r w:rsidRPr="00F12974">
        <w:t>Continual variables</w:t>
      </w:r>
      <w:r>
        <w:t xml:space="preserve">: </w:t>
      </w:r>
    </w:p>
    <w:p w14:paraId="298A1AB7" w14:textId="77777777" w:rsidR="008A4941" w:rsidRPr="00F12974" w:rsidRDefault="008A4941" w:rsidP="00E57209">
      <w:pPr>
        <w:pStyle w:val="Listeavsnitt"/>
        <w:numPr>
          <w:ilvl w:val="0"/>
          <w:numId w:val="10"/>
        </w:numPr>
        <w:spacing w:before="0" w:after="160"/>
      </w:pPr>
      <w:r w:rsidRPr="00F12974">
        <w:t xml:space="preserve">Age </w:t>
      </w:r>
    </w:p>
    <w:p w14:paraId="322FB8D8" w14:textId="77777777" w:rsidR="008A4941" w:rsidRPr="00F12974" w:rsidRDefault="008A4941" w:rsidP="00E57209">
      <w:pPr>
        <w:pStyle w:val="Listeavsnitt"/>
        <w:numPr>
          <w:ilvl w:val="0"/>
          <w:numId w:val="10"/>
        </w:numPr>
        <w:spacing w:before="0" w:after="160"/>
      </w:pPr>
      <w:r w:rsidRPr="00F12974">
        <w:t>Age squared</w:t>
      </w:r>
    </w:p>
    <w:p w14:paraId="6BD3128E" w14:textId="48BAAD7B" w:rsidR="008A4941" w:rsidRPr="00F12974" w:rsidRDefault="008A4941" w:rsidP="00E57209">
      <w:pPr>
        <w:pStyle w:val="Listeavsnitt"/>
        <w:numPr>
          <w:ilvl w:val="0"/>
          <w:numId w:val="10"/>
        </w:numPr>
        <w:spacing w:before="0" w:after="160"/>
      </w:pPr>
      <w:r w:rsidRPr="00F12974">
        <w:t>Number of employees in local unit</w:t>
      </w:r>
      <w:r w:rsidR="003145C8">
        <w:t xml:space="preserve"> (categorized in ten groups)</w:t>
      </w:r>
    </w:p>
    <w:p w14:paraId="1B7BB47E" w14:textId="65B4EB52" w:rsidR="008A4941" w:rsidRPr="00F12974" w:rsidRDefault="008A4941" w:rsidP="00E57209">
      <w:pPr>
        <w:pStyle w:val="Listeavsnitt"/>
        <w:numPr>
          <w:ilvl w:val="0"/>
          <w:numId w:val="10"/>
        </w:numPr>
        <w:spacing w:before="0" w:after="160"/>
      </w:pPr>
      <w:proofErr w:type="gramStart"/>
      <w:r w:rsidRPr="00F12974">
        <w:t>LOG(</w:t>
      </w:r>
      <w:proofErr w:type="gramEnd"/>
      <w:r w:rsidRPr="00F12974">
        <w:t>fixed earning</w:t>
      </w:r>
      <w:r w:rsidR="00BD3517">
        <w:t>s</w:t>
      </w:r>
      <w:r w:rsidRPr="00F12974">
        <w:t>) (monthly earning</w:t>
      </w:r>
      <w:r w:rsidR="00E32FAF">
        <w:t>s</w:t>
      </w:r>
      <w:r w:rsidRPr="00F12974">
        <w:t xml:space="preserve"> excluding variable allowances and bonuses)</w:t>
      </w:r>
    </w:p>
    <w:p w14:paraId="73C8169E" w14:textId="1F453957" w:rsidR="008A4941" w:rsidRPr="00F12974" w:rsidRDefault="008A4941" w:rsidP="00E57209">
      <w:pPr>
        <w:pStyle w:val="Listeavsnitt"/>
        <w:numPr>
          <w:ilvl w:val="0"/>
          <w:numId w:val="10"/>
        </w:numPr>
        <w:spacing w:before="0" w:after="160"/>
      </w:pPr>
      <w:r w:rsidRPr="00F12974">
        <w:t>Actual reported FTE in per cent or calculated FTE (based on calculation from paid hours)</w:t>
      </w:r>
    </w:p>
    <w:p w14:paraId="736DA569" w14:textId="77777777" w:rsidR="008A4941" w:rsidRPr="00F12974" w:rsidRDefault="008A4941" w:rsidP="00E57209">
      <w:r>
        <w:t>Categorical variables</w:t>
      </w:r>
    </w:p>
    <w:p w14:paraId="506FA913" w14:textId="77777777" w:rsidR="008A4941" w:rsidRPr="00F12974" w:rsidRDefault="008A4941" w:rsidP="00E57209">
      <w:pPr>
        <w:pStyle w:val="Listeavsnitt"/>
        <w:numPr>
          <w:ilvl w:val="0"/>
          <w:numId w:val="9"/>
        </w:numPr>
        <w:spacing w:before="0" w:after="160"/>
      </w:pPr>
      <w:r w:rsidRPr="00F12974">
        <w:t>Gender</w:t>
      </w:r>
    </w:p>
    <w:p w14:paraId="66B62886" w14:textId="77777777" w:rsidR="008A4941" w:rsidRPr="00F12974" w:rsidRDefault="008A4941" w:rsidP="00E57209">
      <w:pPr>
        <w:pStyle w:val="Listeavsnitt"/>
        <w:numPr>
          <w:ilvl w:val="0"/>
          <w:numId w:val="9"/>
        </w:numPr>
        <w:spacing w:before="0" w:after="160"/>
      </w:pPr>
      <w:r w:rsidRPr="00F12974">
        <w:t>Highest registered education (first digit ISCED)</w:t>
      </w:r>
    </w:p>
    <w:p w14:paraId="753D88B9" w14:textId="763B8D9E" w:rsidR="008A4941" w:rsidRPr="00F12974" w:rsidRDefault="008A4941" w:rsidP="00E57209">
      <w:pPr>
        <w:pStyle w:val="Listeavsnitt"/>
        <w:numPr>
          <w:ilvl w:val="0"/>
          <w:numId w:val="9"/>
        </w:numPr>
        <w:spacing w:before="0" w:after="160"/>
      </w:pPr>
      <w:r w:rsidRPr="00F12974">
        <w:t>Industry according to NACE200</w:t>
      </w:r>
      <w:r w:rsidR="00E2783B">
        <w:t>7</w:t>
      </w:r>
    </w:p>
    <w:p w14:paraId="54B31E90" w14:textId="6793CB2F" w:rsidR="008A4941" w:rsidRPr="00F12974" w:rsidRDefault="008A4941" w:rsidP="00E57209">
      <w:pPr>
        <w:pStyle w:val="Listeavsnitt"/>
        <w:numPr>
          <w:ilvl w:val="0"/>
          <w:numId w:val="9"/>
        </w:numPr>
        <w:spacing w:before="0" w:after="160"/>
      </w:pPr>
      <w:r w:rsidRPr="00F12974">
        <w:t>Occupation (first t</w:t>
      </w:r>
      <w:r w:rsidR="00E2783B">
        <w:t>w</w:t>
      </w:r>
      <w:r w:rsidRPr="00F12974">
        <w:t>o digits ISCO2008)</w:t>
      </w:r>
    </w:p>
    <w:p w14:paraId="76A84FCD" w14:textId="77777777" w:rsidR="008A4941" w:rsidRPr="00F12974" w:rsidRDefault="008A4941" w:rsidP="00E57209">
      <w:pPr>
        <w:pStyle w:val="Listeavsnitt"/>
        <w:numPr>
          <w:ilvl w:val="0"/>
          <w:numId w:val="9"/>
        </w:numPr>
        <w:spacing w:before="0" w:after="160"/>
      </w:pPr>
      <w:r w:rsidRPr="00F12974">
        <w:t>Apprenticeship</w:t>
      </w:r>
    </w:p>
    <w:p w14:paraId="320A7558" w14:textId="77777777" w:rsidR="008A4941" w:rsidRPr="00F12974" w:rsidRDefault="008A4941" w:rsidP="00E57209">
      <w:pPr>
        <w:pStyle w:val="Listeavsnitt"/>
        <w:numPr>
          <w:ilvl w:val="0"/>
          <w:numId w:val="9"/>
        </w:numPr>
        <w:spacing w:before="0" w:after="160"/>
      </w:pPr>
      <w:r w:rsidRPr="00F12974">
        <w:t>Earning category (fixed monthly, hourly paid, other)</w:t>
      </w:r>
    </w:p>
    <w:p w14:paraId="6B88A292" w14:textId="044D0040" w:rsidR="00255BAF" w:rsidRDefault="00721C2B" w:rsidP="00255BAF">
      <w:r>
        <w:t xml:space="preserve">Even though one of the specifications for utilizing </w:t>
      </w:r>
      <w:proofErr w:type="spellStart"/>
      <w:r>
        <w:t>XGBoost</w:t>
      </w:r>
      <w:proofErr w:type="spellEnd"/>
      <w:r>
        <w:t xml:space="preserve"> is assigning a model, in our case a linear model, you do not specify the model itself only the variables that are to be used. Therefore, describing a singular model would be strictly wrong</w:t>
      </w:r>
      <w:r w:rsidR="008A3181">
        <w:t xml:space="preserve"> since many models are constructed, for increasingly improved fit,</w:t>
      </w:r>
      <w:r>
        <w:t xml:space="preserve"> but describing it would</w:t>
      </w:r>
      <w:r w:rsidR="003145C8">
        <w:t xml:space="preserve"> also</w:t>
      </w:r>
      <w:r>
        <w:t xml:space="preserve"> be outside the realm of this paper. Categorical variables are transformed into dummy variables</w:t>
      </w:r>
      <w:r w:rsidR="00A32C9E">
        <w:t xml:space="preserve">. </w:t>
      </w:r>
      <w:r w:rsidR="003145C8">
        <w:t xml:space="preserve">Since the chosen ML and others make use of several “trees” it will also employ covariance between the variables included. </w:t>
      </w:r>
    </w:p>
    <w:p w14:paraId="232A3DA9" w14:textId="4AF7F596" w:rsidR="00A32C9E" w:rsidRDefault="00A32C9E" w:rsidP="00255BAF">
      <w:r>
        <w:lastRenderedPageBreak/>
        <w:t xml:space="preserve">When it comes to choosing variables for the ML some choices are obvious, while others not so much. The relations between earnings and agreed working hours are among the obvious, the same goes for industry, age, gender and occupation. </w:t>
      </w:r>
      <w:r w:rsidR="00A50A4A">
        <w:t xml:space="preserve">Not so clear is </w:t>
      </w:r>
      <w:r>
        <w:t>the recalculation of basic earnings to LOG</w:t>
      </w:r>
      <w:r w:rsidR="00F201F6">
        <w:t>.</w:t>
      </w:r>
      <w:r>
        <w:t xml:space="preserve"> </w:t>
      </w:r>
      <w:proofErr w:type="spellStart"/>
      <w:r>
        <w:t>XG</w:t>
      </w:r>
      <w:r w:rsidR="00A50A4A">
        <w:t>B</w:t>
      </w:r>
      <w:r>
        <w:t>oost</w:t>
      </w:r>
      <w:proofErr w:type="spellEnd"/>
      <w:r>
        <w:t xml:space="preserve"> does not require </w:t>
      </w:r>
      <w:r w:rsidR="003145C8">
        <w:t xml:space="preserve">this but seemed to produce better </w:t>
      </w:r>
      <w:r w:rsidR="003145C8">
        <w:t xml:space="preserve">results </w:t>
      </w:r>
      <w:r w:rsidR="00B4496C">
        <w:t xml:space="preserve">compared to </w:t>
      </w:r>
      <w:r w:rsidR="003145C8">
        <w:t xml:space="preserve">a non-transformed variable. </w:t>
      </w:r>
      <w:r w:rsidR="00E32FAF">
        <w:t>The exclusion of bonuses and irregular payments is for</w:t>
      </w:r>
      <w:r w:rsidR="00746057">
        <w:t>e</w:t>
      </w:r>
      <w:r w:rsidR="00E32FAF">
        <w:t>most apparent</w:t>
      </w:r>
      <w:r w:rsidR="00247C12">
        <w:t xml:space="preserve"> because</w:t>
      </w:r>
      <w:r w:rsidR="00E32FAF">
        <w:t xml:space="preserve"> these vary between months and do often represent remunerations for work done in earlier month</w:t>
      </w:r>
      <w:r w:rsidR="004D72B1">
        <w:t>s,</w:t>
      </w:r>
      <w:r w:rsidR="00E32FAF">
        <w:t xml:space="preserve"> and do not improve quality of prediction. </w:t>
      </w:r>
      <w:r w:rsidR="00B4496C">
        <w:t xml:space="preserve">The </w:t>
      </w:r>
      <w:r w:rsidR="008A3181">
        <w:t>size of</w:t>
      </w:r>
      <w:r w:rsidR="00B4496C">
        <w:t xml:space="preserve"> the</w:t>
      </w:r>
      <w:r w:rsidR="008A3181">
        <w:t xml:space="preserve"> local unit </w:t>
      </w:r>
      <w:r w:rsidR="008A3181">
        <w:t>does matter for certain industries and within these across some occupations</w:t>
      </w:r>
      <w:r w:rsidR="00746057">
        <w:t>,</w:t>
      </w:r>
      <w:r w:rsidR="008A3181">
        <w:t xml:space="preserve"> but not others. Amongst other points we find that larger local units in some industries</w:t>
      </w:r>
      <w:r w:rsidR="00746057">
        <w:t xml:space="preserve"> employ</w:t>
      </w:r>
      <w:r w:rsidR="008A3181">
        <w:t xml:space="preserve"> </w:t>
      </w:r>
      <w:proofErr w:type="gramStart"/>
      <w:r w:rsidR="003A7E53">
        <w:t>a large number of</w:t>
      </w:r>
      <w:proofErr w:type="gramEnd"/>
      <w:r w:rsidR="00746057">
        <w:t xml:space="preserve"> </w:t>
      </w:r>
      <w:r w:rsidR="00E32FAF">
        <w:t>jobs with small FTEs</w:t>
      </w:r>
      <w:r w:rsidR="003A7E53">
        <w:t>.</w:t>
      </w:r>
      <w:r w:rsidR="00E32FAF">
        <w:t xml:space="preserve"> </w:t>
      </w:r>
      <w:r w:rsidR="003A7E53">
        <w:t>T</w:t>
      </w:r>
      <w:r w:rsidR="00E32FAF">
        <w:t xml:space="preserve">his might be because these larger units </w:t>
      </w:r>
      <w:r w:rsidR="008A3181">
        <w:t xml:space="preserve">are better equipped to utilize many small jobs with uncertain availability, such as students or people seeking shorter terms of employment. </w:t>
      </w:r>
    </w:p>
    <w:p w14:paraId="6FF7B76D" w14:textId="51FDDD6B" w:rsidR="00A32C9E" w:rsidRPr="008A4941" w:rsidRDefault="003C29B5" w:rsidP="00255BAF">
      <w:r>
        <w:t xml:space="preserve">Several other parameters </w:t>
      </w:r>
      <w:proofErr w:type="gramStart"/>
      <w:r>
        <w:t>have to</w:t>
      </w:r>
      <w:proofErr w:type="gramEnd"/>
      <w:r>
        <w:t xml:space="preserve"> be set, even though </w:t>
      </w:r>
      <w:proofErr w:type="spellStart"/>
      <w:r>
        <w:t>XGBoost</w:t>
      </w:r>
      <w:proofErr w:type="spellEnd"/>
      <w:r>
        <w:t xml:space="preserve"> comes with pre-set values that regulate</w:t>
      </w:r>
      <w:r w:rsidR="00E32FAF">
        <w:t xml:space="preserve"> how</w:t>
      </w:r>
      <w:r>
        <w:t xml:space="preserve"> aggressive or conservative the ML will behave. </w:t>
      </w:r>
      <w:r w:rsidR="00746057">
        <w:t>C</w:t>
      </w:r>
      <w:r>
        <w:t>hanging some settings may also adversely affect memory and/or speed of execution (</w:t>
      </w:r>
      <w:r w:rsidRPr="006E2EFB">
        <w:rPr>
          <w:lang w:val="en-US"/>
        </w:rPr>
        <w:t>Xgboost.readthedocs.io</w:t>
      </w:r>
      <w:r w:rsidR="007C33F6">
        <w:rPr>
          <w:lang w:val="en-US"/>
        </w:rPr>
        <w:t>, 2019</w:t>
      </w:r>
      <w:r>
        <w:rPr>
          <w:lang w:val="en-US"/>
        </w:rPr>
        <w:t>)</w:t>
      </w:r>
      <w:r>
        <w:t>. Even though this is not within the frame of this paper</w:t>
      </w:r>
      <w:r w:rsidR="00E32FAF">
        <w:t>,</w:t>
      </w:r>
      <w:r>
        <w:t xml:space="preserve"> it is important to make it clear that adjustments on pre-sets should be done with at least some understanding of both data and the final aim for performance both actual and in prediction.  </w:t>
      </w:r>
    </w:p>
    <w:p w14:paraId="3BA27E1E" w14:textId="77777777" w:rsidR="00BD3517" w:rsidRDefault="00BD3517" w:rsidP="00BD3517">
      <w:pPr>
        <w:pStyle w:val="Overskrift3"/>
        <w:rPr>
          <w:lang w:val="en-US"/>
        </w:rPr>
      </w:pPr>
      <w:r>
        <w:rPr>
          <w:lang w:val="en-US"/>
        </w:rPr>
        <w:t>Actual results</w:t>
      </w:r>
    </w:p>
    <w:p w14:paraId="63CD294D" w14:textId="1CEE24EA" w:rsidR="00BD3517" w:rsidRDefault="00BD3517" w:rsidP="00BD3517">
      <w:r>
        <w:t>Let us assume that we serve the model with “bad” data, data that are faulty/unclean. A model that behaves appropriately would reproduce the same patterns in the target data that we want to correct</w:t>
      </w:r>
      <w:r w:rsidR="002A3E0F">
        <w:t>, the ML</w:t>
      </w:r>
      <w:r w:rsidR="008A3181">
        <w:t xml:space="preserve"> assumes</w:t>
      </w:r>
      <w:r w:rsidR="002A3E0F">
        <w:t xml:space="preserve"> </w:t>
      </w:r>
      <w:r>
        <w:t>that bad data are correct</w:t>
      </w:r>
      <w:r w:rsidR="009834ED">
        <w:t>,</w:t>
      </w:r>
      <w:r>
        <w:t xml:space="preserve"> the assumption would be that a good model would reproduce a predictable amount of incorrect results just as it was given to learn from.</w:t>
      </w:r>
    </w:p>
    <w:p w14:paraId="50B65819" w14:textId="77777777" w:rsidR="00BD3517" w:rsidRDefault="00BD3517" w:rsidP="00BD3517">
      <w:r>
        <w:t xml:space="preserve">To put this into perspective we can compare the consequences of the </w:t>
      </w:r>
      <w:proofErr w:type="gramStart"/>
      <w:r>
        <w:t>aforementioned test</w:t>
      </w:r>
      <w:proofErr w:type="gramEnd"/>
      <w:r>
        <w:t xml:space="preserve"> with doing the same operation with clean data as the base for learning. </w:t>
      </w:r>
    </w:p>
    <w:p w14:paraId="7E5E8AD9" w14:textId="6E1122E0" w:rsidR="00BD3517" w:rsidRDefault="00BD3517" w:rsidP="00BD3517">
      <w:r>
        <w:t xml:space="preserve">What we want to achieve with this is to highlight that the ML </w:t>
      </w:r>
      <w:proofErr w:type="gramStart"/>
      <w:r>
        <w:t>actually is</w:t>
      </w:r>
      <w:proofErr w:type="gramEnd"/>
      <w:r>
        <w:t xml:space="preserve"> able to reproduce the specific characteristics we want to improve, and of course that the results can be used to describe and understand the reality the statistics are aimed at addressing</w:t>
      </w:r>
      <w:r w:rsidRPr="008A3181">
        <w:t xml:space="preserve">. In other words, we must </w:t>
      </w:r>
      <w:r>
        <w:t xml:space="preserve">not lose ourselves in a technical </w:t>
      </w:r>
      <w:r w:rsidRPr="002A3E0F">
        <w:t>wizardry</w:t>
      </w:r>
      <w:r w:rsidR="002A3E0F" w:rsidRPr="008A3181">
        <w:t xml:space="preserve"> or</w:t>
      </w:r>
      <w:r w:rsidRPr="008A3181">
        <w:t xml:space="preserve"> </w:t>
      </w:r>
      <w:r>
        <w:lastRenderedPageBreak/>
        <w:t xml:space="preserve">inherent technical and mathematical functions, as if that was a </w:t>
      </w:r>
      <w:proofErr w:type="gramStart"/>
      <w:r>
        <w:t>goal in itself</w:t>
      </w:r>
      <w:proofErr w:type="gramEnd"/>
      <w:r>
        <w:t>. Our main goal is to efficiently produce the best statistics possible that serves user needs. Thereby</w:t>
      </w:r>
      <w:r w:rsidR="000E07D2">
        <w:t>,</w:t>
      </w:r>
      <w:r>
        <w:t xml:space="preserve"> the criteria for judging performance are the results: do the </w:t>
      </w:r>
      <w:proofErr w:type="gramStart"/>
      <w:r>
        <w:t>final result</w:t>
      </w:r>
      <w:r w:rsidR="000E07D2">
        <w:t>s</w:t>
      </w:r>
      <w:proofErr w:type="gramEnd"/>
      <w:r>
        <w:t xml:space="preserve"> more efficiently describe reality than the exi</w:t>
      </w:r>
      <w:r w:rsidR="006D78C8">
        <w:t>s</w:t>
      </w:r>
      <w:r>
        <w:t xml:space="preserve">ting methods applied in production of statistics. </w:t>
      </w:r>
    </w:p>
    <w:p w14:paraId="0C01A9E3" w14:textId="5A48146F" w:rsidR="00BD3517" w:rsidRDefault="00BD3517" w:rsidP="00BD3517">
      <w:r>
        <w:t>In the following we wish to present some illustrations to summari</w:t>
      </w:r>
      <w:r w:rsidR="006D78C8">
        <w:t>z</w:t>
      </w:r>
      <w:r>
        <w:t>e some important results from the application of either inadequate data compared with adequate data. Our purpose was initially to improve faulty or missing data for agreed hours</w:t>
      </w:r>
      <w:r w:rsidR="00C35A09">
        <w:t xml:space="preserve"> </w:t>
      </w:r>
      <w:r>
        <w:t>by making use of existing data</w:t>
      </w:r>
      <w:r w:rsidR="00D63132">
        <w:t>,</w:t>
      </w:r>
      <w:r>
        <w:t xml:space="preserve"> at the same time</w:t>
      </w:r>
      <w:r w:rsidR="00D63132">
        <w:t>,</w:t>
      </w:r>
      <w:r>
        <w:t xml:space="preserve"> this could come in conflict with existing statistics on earnings from the same source. Remember</w:t>
      </w:r>
      <w:r w:rsidR="00D63132">
        <w:t>,</w:t>
      </w:r>
      <w:r>
        <w:t xml:space="preserve"> information about earnings are utilized in this work, both for qualification and disqualification of observations or the lack thereof. </w:t>
      </w:r>
    </w:p>
    <w:p w14:paraId="487AFA26" w14:textId="12B2D1F7" w:rsidR="00BD3517" w:rsidRDefault="00BD3517" w:rsidP="00BD3517">
      <w:r>
        <w:t xml:space="preserve">In diagram </w:t>
      </w:r>
      <w:r w:rsidR="006D78C8">
        <w:t xml:space="preserve">1 </w:t>
      </w:r>
      <w:r>
        <w:t xml:space="preserve">we have presented a </w:t>
      </w:r>
      <w:r w:rsidR="004F0649">
        <w:t xml:space="preserve">random </w:t>
      </w:r>
      <w:r w:rsidRPr="004F0649">
        <w:t xml:space="preserve">subset of data </w:t>
      </w:r>
      <w:r>
        <w:t xml:space="preserve">where the results </w:t>
      </w:r>
      <w:r w:rsidR="00C35A09">
        <w:t xml:space="preserve">are based on data that are not vetted as good as they should be. </w:t>
      </w:r>
      <w:r w:rsidR="004C0F36">
        <w:t xml:space="preserve">The x-axis is FTE while the y-axis is earnings per full time equivalent, recalculated after prediction of new values for </w:t>
      </w:r>
      <w:r w:rsidR="00260AA9">
        <w:t xml:space="preserve">the </w:t>
      </w:r>
      <w:r w:rsidR="004C0F36">
        <w:t xml:space="preserve">FTE. </w:t>
      </w:r>
      <w:r w:rsidR="00C35A09">
        <w:t xml:space="preserve">Diagram </w:t>
      </w:r>
      <w:r w:rsidR="006D78C8">
        <w:t xml:space="preserve">2 </w:t>
      </w:r>
      <w:r w:rsidR="00C35A09">
        <w:t xml:space="preserve">on the other hand presents a result that is much better. Both diagrams are based on the same sub-sample </w:t>
      </w:r>
      <w:r w:rsidR="00260AA9">
        <w:t xml:space="preserve">and have the same scale </w:t>
      </w:r>
      <w:r w:rsidR="00C35A09">
        <w:t xml:space="preserve">(please </w:t>
      </w:r>
      <w:r w:rsidR="00BF43B5">
        <w:t xml:space="preserve">note </w:t>
      </w:r>
      <w:r w:rsidR="00C35A09">
        <w:t>the pattern of the reported values)</w:t>
      </w:r>
      <w:r w:rsidR="006F3303">
        <w:t xml:space="preserve">. It is also important to note that the comparison is done with actual data used in the publication of earnings statistics and has therefore passed through our regular production routine. </w:t>
      </w:r>
    </w:p>
    <w:p w14:paraId="30DB70E7" w14:textId="5D28D5A1" w:rsidR="00BD3517" w:rsidRDefault="00BD3517" w:rsidP="00BD3517"/>
    <w:p w14:paraId="6CBC9FB3" w14:textId="6653F9A6" w:rsidR="00A45410" w:rsidRDefault="00A45410" w:rsidP="00A45410">
      <w:pPr>
        <w:pStyle w:val="Bildetekst"/>
      </w:pPr>
      <w:r>
        <w:t xml:space="preserve">Diagram </w:t>
      </w:r>
      <w:r>
        <w:fldChar w:fldCharType="begin"/>
      </w:r>
      <w:r>
        <w:instrText xml:space="preserve"> SEQ Diagram \* ARABIC </w:instrText>
      </w:r>
      <w:r>
        <w:fldChar w:fldCharType="separate"/>
      </w:r>
      <w:r w:rsidR="0070742C">
        <w:rPr>
          <w:noProof/>
        </w:rPr>
        <w:t>1</w:t>
      </w:r>
      <w:r>
        <w:fldChar w:fldCharType="end"/>
      </w:r>
      <w:r>
        <w:t xml:space="preserve"> </w:t>
      </w:r>
      <w:r w:rsidRPr="008B48F5">
        <w:t>Results after applying inaccurate data for learning</w:t>
      </w:r>
    </w:p>
    <w:p w14:paraId="0AC06508" w14:textId="5D020176" w:rsidR="00C54834" w:rsidRDefault="00A45410" w:rsidP="00C178D1">
      <w:r>
        <w:rPr>
          <w:noProof/>
        </w:rPr>
        <w:drawing>
          <wp:inline distT="0" distB="0" distL="0" distR="0" wp14:anchorId="30FF00FB" wp14:editId="07CC2A4F">
            <wp:extent cx="5760720" cy="3616960"/>
            <wp:effectExtent l="0" t="0" r="11430" b="2540"/>
            <wp:docPr id="3" name="Diagram 3">
              <a:extLst xmlns:a="http://schemas.openxmlformats.org/drawingml/2006/main">
                <a:ext uri="{FF2B5EF4-FFF2-40B4-BE49-F238E27FC236}">
                  <a16:creationId xmlns:a16="http://schemas.microsoft.com/office/drawing/2014/main" id="{DAF85AE5-ED35-4772-BF07-1307D8DB7D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7085E4" w14:textId="19D13A90" w:rsidR="00C178D1" w:rsidRDefault="00C178D1" w:rsidP="00C178D1">
      <w:r>
        <w:t>Source: Statistics Norway</w:t>
      </w:r>
    </w:p>
    <w:p w14:paraId="0842CE54" w14:textId="77CECF17" w:rsidR="006F3303" w:rsidRDefault="006F3303" w:rsidP="006F3303">
      <w:r>
        <w:t xml:space="preserve">In diagram </w:t>
      </w:r>
      <w:r w:rsidR="006D78C8">
        <w:t>1</w:t>
      </w:r>
      <w:r w:rsidR="008E42E7">
        <w:t>,</w:t>
      </w:r>
      <w:r w:rsidR="006D78C8">
        <w:t xml:space="preserve"> </w:t>
      </w:r>
      <w:r>
        <w:t xml:space="preserve">at least one observation </w:t>
      </w:r>
      <w:r w:rsidR="00260AA9">
        <w:t>h</w:t>
      </w:r>
      <w:r>
        <w:t>as received input that puts it very high up on the earnings ladder. But most important is the fact that most of the predicted values on the x-axis</w:t>
      </w:r>
      <w:r w:rsidR="004C0F36">
        <w:t>, FTE, are bunched up below a</w:t>
      </w:r>
      <w:r w:rsidR="00260AA9">
        <w:t>n</w:t>
      </w:r>
      <w:r w:rsidR="004C0F36">
        <w:t xml:space="preserve"> FTE of 70 per cent. In </w:t>
      </w:r>
      <w:r w:rsidR="004C0F36">
        <w:t>diagram 2</w:t>
      </w:r>
      <w:r w:rsidR="008E42E7">
        <w:t>,</w:t>
      </w:r>
      <w:r w:rsidR="004C0F36">
        <w:t xml:space="preserve"> this </w:t>
      </w:r>
      <w:r w:rsidR="004C0F36">
        <w:t>is changed</w:t>
      </w:r>
      <w:r w:rsidR="00DD6780">
        <w:t>,</w:t>
      </w:r>
      <w:r w:rsidR="004C0F36">
        <w:t xml:space="preserve"> and the observations are more spread across the range of FTE.</w:t>
      </w:r>
    </w:p>
    <w:p w14:paraId="607A2289" w14:textId="244051CC" w:rsidR="0070742C" w:rsidRDefault="0070742C" w:rsidP="0070742C">
      <w:pPr>
        <w:pStyle w:val="Bildetekst"/>
      </w:pPr>
      <w:r>
        <w:t xml:space="preserve">Diagram </w:t>
      </w:r>
      <w:r>
        <w:fldChar w:fldCharType="begin"/>
      </w:r>
      <w:r>
        <w:instrText xml:space="preserve"> SEQ Diagram \* ARABIC </w:instrText>
      </w:r>
      <w:r>
        <w:fldChar w:fldCharType="separate"/>
      </w:r>
      <w:r>
        <w:rPr>
          <w:noProof/>
        </w:rPr>
        <w:t>2</w:t>
      </w:r>
      <w:r>
        <w:fldChar w:fldCharType="end"/>
      </w:r>
      <w:r>
        <w:t xml:space="preserve"> </w:t>
      </w:r>
      <w:r w:rsidRPr="003F211E">
        <w:t>Results from a more accurate learning data set</w:t>
      </w:r>
    </w:p>
    <w:p w14:paraId="11C202E1" w14:textId="1F7E9B65" w:rsidR="0095094F" w:rsidRDefault="0070742C" w:rsidP="00C178D1">
      <w:r>
        <w:rPr>
          <w:noProof/>
        </w:rPr>
        <w:drawing>
          <wp:inline distT="0" distB="0" distL="0" distR="0" wp14:anchorId="571C3427" wp14:editId="521785ED">
            <wp:extent cx="5760720" cy="3491230"/>
            <wp:effectExtent l="0" t="0" r="11430" b="13970"/>
            <wp:docPr id="1" name="Diagram 1">
              <a:extLst xmlns:a="http://schemas.openxmlformats.org/drawingml/2006/main">
                <a:ext uri="{FF2B5EF4-FFF2-40B4-BE49-F238E27FC236}">
                  <a16:creationId xmlns:a16="http://schemas.microsoft.com/office/drawing/2014/main" id="{9A2F7686-D76F-41E3-A8AF-3DE1CD6862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E6674" w14:textId="1EDFFB8D" w:rsidR="00C178D1" w:rsidRDefault="00C178D1" w:rsidP="00C178D1">
      <w:r>
        <w:t>Source: Statistics Norway</w:t>
      </w:r>
    </w:p>
    <w:p w14:paraId="6C2BCC02" w14:textId="20B85B21" w:rsidR="00C178D1" w:rsidRPr="00E3614B" w:rsidRDefault="004C0F36" w:rsidP="00BD3517">
      <w:r>
        <w:t xml:space="preserve">In general, the predicted values in diagram two are now more neatly ordered in the distribution of earnings and FTE, as a point of simple eyeball economics. </w:t>
      </w:r>
    </w:p>
    <w:p w14:paraId="3641F583" w14:textId="603F2555" w:rsidR="000F78D7" w:rsidRDefault="000F78D7" w:rsidP="000F78D7">
      <w:pPr>
        <w:pStyle w:val="Overskrift2"/>
      </w:pPr>
      <w:r>
        <w:t>Final output and the results</w:t>
      </w:r>
    </w:p>
    <w:p w14:paraId="35429829" w14:textId="7B3A3C52" w:rsidR="0044118E" w:rsidRDefault="0044118E" w:rsidP="0044118E">
      <w:r>
        <w:t xml:space="preserve">In the following we wish to present some of the results and try to explain and understand if and how the model helps us to improve the statistics. We also </w:t>
      </w:r>
      <w:proofErr w:type="gramStart"/>
      <w:r>
        <w:t>have to</w:t>
      </w:r>
      <w:proofErr w:type="gramEnd"/>
      <w:r>
        <w:t xml:space="preserve"> address the question: does the application of ML introduce new problems for the production or presentation of statistics</w:t>
      </w:r>
      <w:r w:rsidR="007737DB">
        <w:t>?</w:t>
      </w:r>
      <w:r>
        <w:t xml:space="preserve"> </w:t>
      </w:r>
    </w:p>
    <w:p w14:paraId="0FC516F6" w14:textId="48F84F81" w:rsidR="008E4992" w:rsidRDefault="008242D0" w:rsidP="0044118E">
      <w:r w:rsidRPr="008B51D2">
        <w:t>One</w:t>
      </w:r>
      <w:r w:rsidR="0044118E" w:rsidRPr="008B51D2">
        <w:t xml:space="preserve"> systematic trend </w:t>
      </w:r>
      <w:r w:rsidR="008B51D2">
        <w:t xml:space="preserve">in the training data </w:t>
      </w:r>
      <w:r w:rsidR="0044118E" w:rsidRPr="008B51D2">
        <w:t>is that paid hours used to estimate agreed hours tends to underestimate agreed hour</w:t>
      </w:r>
      <w:r w:rsidR="0044118E" w:rsidRPr="008B51D2">
        <w:t>s.</w:t>
      </w:r>
      <w:r w:rsidR="008E42E7" w:rsidRPr="008B51D2">
        <w:rPr>
          <w:rStyle w:val="Merknadsreferanse"/>
        </w:rPr>
        <w:t xml:space="preserve"> </w:t>
      </w:r>
      <w:r w:rsidR="0044118E" w:rsidRPr="008B51D2">
        <w:t xml:space="preserve"> </w:t>
      </w:r>
      <w:r w:rsidR="0044118E">
        <w:t xml:space="preserve">This </w:t>
      </w:r>
      <w:r w:rsidR="008E1CD2">
        <w:t>can be the case</w:t>
      </w:r>
      <w:r w:rsidR="0044118E">
        <w:t xml:space="preserve"> because regular leave or lunch breaks are not included in the paid hours, </w:t>
      </w:r>
      <w:r w:rsidR="00752D10">
        <w:t xml:space="preserve">or </w:t>
      </w:r>
      <w:r w:rsidR="0044118E">
        <w:t>the employee was not present</w:t>
      </w:r>
      <w:r w:rsidR="008E4992">
        <w:t xml:space="preserve"> due to other reasons</w:t>
      </w:r>
      <w:r w:rsidR="007A5649">
        <w:t xml:space="preserve">. </w:t>
      </w:r>
      <w:r w:rsidR="008B51D2">
        <w:t xml:space="preserve">This </w:t>
      </w:r>
      <w:proofErr w:type="gramStart"/>
      <w:r w:rsidR="008B51D2">
        <w:t>has to</w:t>
      </w:r>
      <w:proofErr w:type="gramEnd"/>
      <w:r w:rsidR="008B51D2">
        <w:t xml:space="preserve"> be refined in the training data and a final judgment is yet to be passed. </w:t>
      </w:r>
    </w:p>
    <w:p w14:paraId="0053F115" w14:textId="6FAA612A" w:rsidR="006747CA" w:rsidRDefault="00E35AA3" w:rsidP="0044118E">
      <w:r>
        <w:t>How the distribution of FTE has changed is the most important feature of study in this work</w:t>
      </w:r>
      <w:r w:rsidR="00586514">
        <w:t>,</w:t>
      </w:r>
      <w:r>
        <w:t xml:space="preserve"> because it is the objective of utilizing ML in the first place. I</w:t>
      </w:r>
      <w:r w:rsidR="0081126B">
        <w:t>n</w:t>
      </w:r>
      <w:r>
        <w:t xml:space="preserve"> table 2</w:t>
      </w:r>
      <w:r w:rsidR="008034C7">
        <w:t>,</w:t>
      </w:r>
      <w:r>
        <w:t xml:space="preserve"> </w:t>
      </w:r>
      <w:r>
        <w:t xml:space="preserve">we have presented the distribution of FTE by deciles and presented mean values in total and for each decile and the percentage of the sum of FTE. </w:t>
      </w:r>
    </w:p>
    <w:p w14:paraId="6B52A7FC" w14:textId="765FAE5F" w:rsidR="00E35AA3" w:rsidRDefault="00E35AA3" w:rsidP="0044118E">
      <w:r>
        <w:t>The main summary is that the FTE after prediction ha</w:t>
      </w:r>
      <w:r w:rsidR="00E45552">
        <w:t>s</w:t>
      </w:r>
      <w:r>
        <w:t xml:space="preserve"> slightly more data at the lower end of the scale</w:t>
      </w:r>
      <w:r w:rsidR="00E45552">
        <w:t xml:space="preserve">, </w:t>
      </w:r>
      <w:r w:rsidR="00027801">
        <w:t xml:space="preserve">the </w:t>
      </w:r>
      <w:r w:rsidR="00E45552">
        <w:t>mean FTE is at 80 per cent after prediction compared to 82 per cent in the original data</w:t>
      </w:r>
      <w:r>
        <w:t xml:space="preserve">. While the total number of full-time jobs is approximately the same in both </w:t>
      </w:r>
      <w:r w:rsidR="00E45552">
        <w:t>(</w:t>
      </w:r>
      <w:r>
        <w:t>the difference</w:t>
      </w:r>
      <w:r w:rsidR="00E45552">
        <w:t xml:space="preserve"> in distribution</w:t>
      </w:r>
      <w:r>
        <w:t xml:space="preserve"> is significant, both in amount and statistically</w:t>
      </w:r>
      <w:r w:rsidR="00E45552">
        <w:t>)</w:t>
      </w:r>
      <w:r>
        <w:t xml:space="preserve">. </w:t>
      </w:r>
    </w:p>
    <w:p w14:paraId="778B914E" w14:textId="4F0E6BB3" w:rsidR="0010249F" w:rsidRDefault="0010249F" w:rsidP="0010249F">
      <w:pPr>
        <w:pStyle w:val="Bildetekst"/>
      </w:pPr>
      <w:r>
        <w:t xml:space="preserve">Table </w:t>
      </w:r>
      <w:r>
        <w:fldChar w:fldCharType="begin"/>
      </w:r>
      <w:r>
        <w:instrText xml:space="preserve"> SEQ Table \* ARABIC </w:instrText>
      </w:r>
      <w:r>
        <w:fldChar w:fldCharType="separate"/>
      </w:r>
      <w:r>
        <w:rPr>
          <w:noProof/>
        </w:rPr>
        <w:t>2</w:t>
      </w:r>
      <w:r>
        <w:fldChar w:fldCharType="end"/>
      </w:r>
      <w:r>
        <w:t xml:space="preserve"> </w:t>
      </w:r>
      <w:r w:rsidRPr="00A25FA9">
        <w:t xml:space="preserve">Decile distribution of FTE in the earnings statistics before and after </w:t>
      </w:r>
      <w:r w:rsidR="005C3FB1">
        <w:t>imputation</w:t>
      </w:r>
      <w:r w:rsidR="00CD1E01">
        <w:rPr>
          <w:rStyle w:val="Fotnotereferanse"/>
        </w:rPr>
        <w:footnoteReference w:id="3"/>
      </w:r>
    </w:p>
    <w:tbl>
      <w:tblPr>
        <w:tblStyle w:val="Tabellrutenett"/>
        <w:tblW w:w="0" w:type="auto"/>
        <w:tblLook w:val="04A0" w:firstRow="1" w:lastRow="0" w:firstColumn="1" w:lastColumn="0" w:noHBand="0" w:noVBand="1"/>
      </w:tblPr>
      <w:tblGrid>
        <w:gridCol w:w="1200"/>
        <w:gridCol w:w="1595"/>
        <w:gridCol w:w="1451"/>
        <w:gridCol w:w="1595"/>
        <w:gridCol w:w="1451"/>
      </w:tblGrid>
      <w:tr w:rsidR="006747CA" w:rsidRPr="006747CA" w14:paraId="6FD36292" w14:textId="77777777" w:rsidTr="006747CA">
        <w:trPr>
          <w:trHeight w:val="300"/>
        </w:trPr>
        <w:tc>
          <w:tcPr>
            <w:tcW w:w="1200" w:type="dxa"/>
            <w:noWrap/>
            <w:hideMark/>
          </w:tcPr>
          <w:p w14:paraId="68923EEF" w14:textId="77777777" w:rsidR="006747CA" w:rsidRPr="00551FE1" w:rsidRDefault="006747CA" w:rsidP="006747CA"/>
        </w:tc>
        <w:tc>
          <w:tcPr>
            <w:tcW w:w="3046" w:type="dxa"/>
            <w:gridSpan w:val="2"/>
            <w:noWrap/>
            <w:hideMark/>
          </w:tcPr>
          <w:p w14:paraId="4D853A1B" w14:textId="305E0A1D" w:rsidR="006747CA" w:rsidRPr="006747CA" w:rsidRDefault="006747CA" w:rsidP="006747CA">
            <w:r w:rsidRPr="006747CA">
              <w:t>Av</w:t>
            </w:r>
            <w:r>
              <w:t>e</w:t>
            </w:r>
            <w:r w:rsidRPr="006747CA">
              <w:t>rage FTE</w:t>
            </w:r>
          </w:p>
        </w:tc>
        <w:tc>
          <w:tcPr>
            <w:tcW w:w="3046" w:type="dxa"/>
            <w:gridSpan w:val="2"/>
            <w:noWrap/>
            <w:hideMark/>
          </w:tcPr>
          <w:p w14:paraId="0B12EB23" w14:textId="77777777" w:rsidR="006747CA" w:rsidRPr="006747CA" w:rsidRDefault="006747CA" w:rsidP="006747CA">
            <w:r w:rsidRPr="006747CA">
              <w:t>Percent of total FTE</w:t>
            </w:r>
          </w:p>
        </w:tc>
      </w:tr>
      <w:tr w:rsidR="006747CA" w:rsidRPr="006747CA" w14:paraId="1BF2989B" w14:textId="77777777" w:rsidTr="006747CA">
        <w:trPr>
          <w:trHeight w:val="300"/>
        </w:trPr>
        <w:tc>
          <w:tcPr>
            <w:tcW w:w="1200" w:type="dxa"/>
            <w:noWrap/>
            <w:hideMark/>
          </w:tcPr>
          <w:p w14:paraId="1B797879" w14:textId="77777777" w:rsidR="006747CA" w:rsidRPr="006747CA" w:rsidRDefault="006747CA" w:rsidP="006747CA">
            <w:r w:rsidRPr="006747CA">
              <w:t>Decile</w:t>
            </w:r>
          </w:p>
        </w:tc>
        <w:tc>
          <w:tcPr>
            <w:tcW w:w="1595" w:type="dxa"/>
            <w:noWrap/>
            <w:hideMark/>
          </w:tcPr>
          <w:p w14:paraId="1E0F7022" w14:textId="77777777" w:rsidR="006747CA" w:rsidRPr="006747CA" w:rsidRDefault="006747CA">
            <w:r w:rsidRPr="006747CA">
              <w:t xml:space="preserve">Before prediction </w:t>
            </w:r>
          </w:p>
        </w:tc>
        <w:tc>
          <w:tcPr>
            <w:tcW w:w="1451" w:type="dxa"/>
            <w:noWrap/>
            <w:hideMark/>
          </w:tcPr>
          <w:p w14:paraId="514D8857" w14:textId="77777777" w:rsidR="006747CA" w:rsidRPr="006747CA" w:rsidRDefault="006747CA">
            <w:r w:rsidRPr="006747CA">
              <w:t>After prediction</w:t>
            </w:r>
          </w:p>
        </w:tc>
        <w:tc>
          <w:tcPr>
            <w:tcW w:w="1595" w:type="dxa"/>
            <w:noWrap/>
            <w:hideMark/>
          </w:tcPr>
          <w:p w14:paraId="26745018" w14:textId="77777777" w:rsidR="006747CA" w:rsidRPr="006747CA" w:rsidRDefault="006747CA">
            <w:r w:rsidRPr="006747CA">
              <w:t xml:space="preserve">Before prediction </w:t>
            </w:r>
          </w:p>
        </w:tc>
        <w:tc>
          <w:tcPr>
            <w:tcW w:w="1451" w:type="dxa"/>
            <w:noWrap/>
            <w:hideMark/>
          </w:tcPr>
          <w:p w14:paraId="57315E11" w14:textId="77777777" w:rsidR="006747CA" w:rsidRPr="006747CA" w:rsidRDefault="006747CA">
            <w:r w:rsidRPr="006747CA">
              <w:t>After prediction</w:t>
            </w:r>
          </w:p>
        </w:tc>
      </w:tr>
      <w:tr w:rsidR="006747CA" w:rsidRPr="00CD1E01" w14:paraId="2BF80E96" w14:textId="77777777" w:rsidTr="005C0E96">
        <w:trPr>
          <w:trHeight w:val="300"/>
        </w:trPr>
        <w:tc>
          <w:tcPr>
            <w:tcW w:w="1200" w:type="dxa"/>
            <w:noWrap/>
            <w:hideMark/>
          </w:tcPr>
          <w:p w14:paraId="44D53166" w14:textId="77777777" w:rsidR="006747CA" w:rsidRPr="00CD1E01" w:rsidRDefault="006747CA">
            <w:pPr>
              <w:rPr>
                <w:b/>
              </w:rPr>
            </w:pPr>
            <w:r w:rsidRPr="00CD1E01">
              <w:rPr>
                <w:b/>
              </w:rPr>
              <w:t>Total</w:t>
            </w:r>
          </w:p>
        </w:tc>
        <w:tc>
          <w:tcPr>
            <w:tcW w:w="1595" w:type="dxa"/>
            <w:noWrap/>
            <w:vAlign w:val="center"/>
            <w:hideMark/>
          </w:tcPr>
          <w:p w14:paraId="41D4EDA5" w14:textId="77777777" w:rsidR="006747CA" w:rsidRPr="00CD1E01" w:rsidRDefault="006747CA" w:rsidP="005C0E96">
            <w:pPr>
              <w:jc w:val="right"/>
              <w:rPr>
                <w:b/>
              </w:rPr>
            </w:pPr>
            <w:r w:rsidRPr="00CD1E01">
              <w:rPr>
                <w:b/>
              </w:rPr>
              <w:t xml:space="preserve">          0,82 </w:t>
            </w:r>
          </w:p>
        </w:tc>
        <w:tc>
          <w:tcPr>
            <w:tcW w:w="1451" w:type="dxa"/>
            <w:noWrap/>
            <w:vAlign w:val="center"/>
            <w:hideMark/>
          </w:tcPr>
          <w:p w14:paraId="20ADB9BF" w14:textId="77777777" w:rsidR="006747CA" w:rsidRPr="00CD1E01" w:rsidRDefault="006747CA" w:rsidP="005C0E96">
            <w:pPr>
              <w:jc w:val="right"/>
              <w:rPr>
                <w:b/>
              </w:rPr>
            </w:pPr>
            <w:r w:rsidRPr="00CD1E01">
              <w:rPr>
                <w:b/>
              </w:rPr>
              <w:t xml:space="preserve">          0,80 </w:t>
            </w:r>
          </w:p>
        </w:tc>
        <w:tc>
          <w:tcPr>
            <w:tcW w:w="1595" w:type="dxa"/>
            <w:noWrap/>
            <w:vAlign w:val="center"/>
            <w:hideMark/>
          </w:tcPr>
          <w:p w14:paraId="43BB8FF4" w14:textId="77777777" w:rsidR="006747CA" w:rsidRPr="00CD1E01" w:rsidRDefault="006747CA" w:rsidP="005C0E96">
            <w:pPr>
              <w:jc w:val="right"/>
              <w:rPr>
                <w:b/>
              </w:rPr>
            </w:pPr>
            <w:r w:rsidRPr="00CD1E01">
              <w:rPr>
                <w:b/>
              </w:rPr>
              <w:t>100,0</w:t>
            </w:r>
          </w:p>
        </w:tc>
        <w:tc>
          <w:tcPr>
            <w:tcW w:w="1451" w:type="dxa"/>
            <w:noWrap/>
            <w:vAlign w:val="center"/>
            <w:hideMark/>
          </w:tcPr>
          <w:p w14:paraId="0D8E6CFE" w14:textId="77777777" w:rsidR="006747CA" w:rsidRPr="00CD1E01" w:rsidRDefault="006747CA" w:rsidP="005C0E96">
            <w:pPr>
              <w:jc w:val="right"/>
              <w:rPr>
                <w:b/>
              </w:rPr>
            </w:pPr>
            <w:r w:rsidRPr="00CD1E01">
              <w:rPr>
                <w:b/>
              </w:rPr>
              <w:t>100,0</w:t>
            </w:r>
          </w:p>
        </w:tc>
      </w:tr>
      <w:tr w:rsidR="006747CA" w:rsidRPr="006747CA" w14:paraId="07A3A095" w14:textId="77777777" w:rsidTr="005C0E96">
        <w:trPr>
          <w:trHeight w:val="300"/>
        </w:trPr>
        <w:tc>
          <w:tcPr>
            <w:tcW w:w="1200" w:type="dxa"/>
            <w:noWrap/>
            <w:hideMark/>
          </w:tcPr>
          <w:p w14:paraId="665460D0" w14:textId="77777777" w:rsidR="006747CA" w:rsidRPr="006747CA" w:rsidRDefault="006747CA" w:rsidP="006747CA">
            <w:r w:rsidRPr="006747CA">
              <w:t>1</w:t>
            </w:r>
          </w:p>
        </w:tc>
        <w:tc>
          <w:tcPr>
            <w:tcW w:w="1595" w:type="dxa"/>
            <w:noWrap/>
            <w:vAlign w:val="center"/>
            <w:hideMark/>
          </w:tcPr>
          <w:p w14:paraId="4E1300F9" w14:textId="77777777" w:rsidR="006747CA" w:rsidRPr="006747CA" w:rsidRDefault="006747CA" w:rsidP="005C0E96">
            <w:pPr>
              <w:jc w:val="right"/>
            </w:pPr>
            <w:r w:rsidRPr="006747CA">
              <w:t xml:space="preserve">          0,16 </w:t>
            </w:r>
          </w:p>
        </w:tc>
        <w:tc>
          <w:tcPr>
            <w:tcW w:w="1451" w:type="dxa"/>
            <w:noWrap/>
            <w:vAlign w:val="center"/>
            <w:hideMark/>
          </w:tcPr>
          <w:p w14:paraId="4A19427F" w14:textId="77777777" w:rsidR="006747CA" w:rsidRPr="006747CA" w:rsidRDefault="006747CA" w:rsidP="005C0E96">
            <w:pPr>
              <w:jc w:val="right"/>
            </w:pPr>
            <w:r w:rsidRPr="006747CA">
              <w:t xml:space="preserve">          0,12 </w:t>
            </w:r>
          </w:p>
        </w:tc>
        <w:tc>
          <w:tcPr>
            <w:tcW w:w="1595" w:type="dxa"/>
            <w:noWrap/>
            <w:vAlign w:val="center"/>
            <w:hideMark/>
          </w:tcPr>
          <w:p w14:paraId="4618ED82" w14:textId="77777777" w:rsidR="006747CA" w:rsidRPr="006747CA" w:rsidRDefault="006747CA" w:rsidP="005C0E96">
            <w:pPr>
              <w:jc w:val="right"/>
            </w:pPr>
            <w:r w:rsidRPr="006747CA">
              <w:t>2,0</w:t>
            </w:r>
          </w:p>
        </w:tc>
        <w:tc>
          <w:tcPr>
            <w:tcW w:w="1451" w:type="dxa"/>
            <w:noWrap/>
            <w:vAlign w:val="center"/>
            <w:hideMark/>
          </w:tcPr>
          <w:p w14:paraId="455C793B" w14:textId="77777777" w:rsidR="006747CA" w:rsidRPr="006747CA" w:rsidRDefault="006747CA" w:rsidP="005C0E96">
            <w:pPr>
              <w:jc w:val="right"/>
            </w:pPr>
            <w:r w:rsidRPr="006747CA">
              <w:t>1,5</w:t>
            </w:r>
          </w:p>
        </w:tc>
      </w:tr>
      <w:tr w:rsidR="006747CA" w:rsidRPr="006747CA" w14:paraId="021C1959" w14:textId="77777777" w:rsidTr="005C0E96">
        <w:trPr>
          <w:trHeight w:val="300"/>
        </w:trPr>
        <w:tc>
          <w:tcPr>
            <w:tcW w:w="1200" w:type="dxa"/>
            <w:noWrap/>
            <w:hideMark/>
          </w:tcPr>
          <w:p w14:paraId="2B5426EF" w14:textId="77777777" w:rsidR="006747CA" w:rsidRPr="006747CA" w:rsidRDefault="006747CA" w:rsidP="006747CA">
            <w:r w:rsidRPr="006747CA">
              <w:t>2</w:t>
            </w:r>
          </w:p>
        </w:tc>
        <w:tc>
          <w:tcPr>
            <w:tcW w:w="1595" w:type="dxa"/>
            <w:noWrap/>
            <w:vAlign w:val="center"/>
            <w:hideMark/>
          </w:tcPr>
          <w:p w14:paraId="56665825" w14:textId="77777777" w:rsidR="006747CA" w:rsidRPr="006747CA" w:rsidRDefault="006747CA" w:rsidP="005C0E96">
            <w:pPr>
              <w:jc w:val="right"/>
            </w:pPr>
            <w:r w:rsidRPr="006747CA">
              <w:t xml:space="preserve">          0,43 </w:t>
            </w:r>
          </w:p>
        </w:tc>
        <w:tc>
          <w:tcPr>
            <w:tcW w:w="1451" w:type="dxa"/>
            <w:noWrap/>
            <w:vAlign w:val="center"/>
            <w:hideMark/>
          </w:tcPr>
          <w:p w14:paraId="2F505B8F" w14:textId="77777777" w:rsidR="006747CA" w:rsidRPr="006747CA" w:rsidRDefault="006747CA" w:rsidP="005C0E96">
            <w:pPr>
              <w:jc w:val="right"/>
            </w:pPr>
            <w:r w:rsidRPr="006747CA">
              <w:t xml:space="preserve">          0,35 </w:t>
            </w:r>
          </w:p>
        </w:tc>
        <w:tc>
          <w:tcPr>
            <w:tcW w:w="1595" w:type="dxa"/>
            <w:noWrap/>
            <w:vAlign w:val="center"/>
            <w:hideMark/>
          </w:tcPr>
          <w:p w14:paraId="38D547CE" w14:textId="77777777" w:rsidR="006747CA" w:rsidRPr="006747CA" w:rsidRDefault="006747CA" w:rsidP="005C0E96">
            <w:pPr>
              <w:jc w:val="right"/>
            </w:pPr>
            <w:r w:rsidRPr="006747CA">
              <w:t>5,3</w:t>
            </w:r>
          </w:p>
        </w:tc>
        <w:tc>
          <w:tcPr>
            <w:tcW w:w="1451" w:type="dxa"/>
            <w:noWrap/>
            <w:vAlign w:val="center"/>
            <w:hideMark/>
          </w:tcPr>
          <w:p w14:paraId="69306EEB" w14:textId="77777777" w:rsidR="006747CA" w:rsidRPr="006747CA" w:rsidRDefault="006747CA" w:rsidP="005C0E96">
            <w:pPr>
              <w:jc w:val="right"/>
            </w:pPr>
            <w:r w:rsidRPr="006747CA">
              <w:t>4,4</w:t>
            </w:r>
          </w:p>
        </w:tc>
      </w:tr>
      <w:tr w:rsidR="006747CA" w:rsidRPr="006747CA" w14:paraId="41D77E7D" w14:textId="77777777" w:rsidTr="005C0E96">
        <w:trPr>
          <w:trHeight w:val="300"/>
        </w:trPr>
        <w:tc>
          <w:tcPr>
            <w:tcW w:w="1200" w:type="dxa"/>
            <w:noWrap/>
            <w:hideMark/>
          </w:tcPr>
          <w:p w14:paraId="0B0514FF" w14:textId="77777777" w:rsidR="006747CA" w:rsidRPr="006747CA" w:rsidRDefault="006747CA" w:rsidP="006747CA">
            <w:r w:rsidRPr="006747CA">
              <w:t>3</w:t>
            </w:r>
          </w:p>
        </w:tc>
        <w:tc>
          <w:tcPr>
            <w:tcW w:w="1595" w:type="dxa"/>
            <w:noWrap/>
            <w:vAlign w:val="center"/>
            <w:hideMark/>
          </w:tcPr>
          <w:p w14:paraId="5D032DD0" w14:textId="77777777" w:rsidR="006747CA" w:rsidRPr="006747CA" w:rsidRDefault="006747CA" w:rsidP="005C0E96">
            <w:pPr>
              <w:jc w:val="right"/>
            </w:pPr>
            <w:r w:rsidRPr="006747CA">
              <w:t xml:space="preserve">          0,68 </w:t>
            </w:r>
          </w:p>
        </w:tc>
        <w:tc>
          <w:tcPr>
            <w:tcW w:w="1451" w:type="dxa"/>
            <w:noWrap/>
            <w:vAlign w:val="center"/>
            <w:hideMark/>
          </w:tcPr>
          <w:p w14:paraId="5E0177B7" w14:textId="77777777" w:rsidR="006747CA" w:rsidRPr="006747CA" w:rsidRDefault="006747CA" w:rsidP="005C0E96">
            <w:pPr>
              <w:jc w:val="right"/>
            </w:pPr>
            <w:r w:rsidRPr="006747CA">
              <w:t xml:space="preserve">          0,60 </w:t>
            </w:r>
          </w:p>
        </w:tc>
        <w:tc>
          <w:tcPr>
            <w:tcW w:w="1595" w:type="dxa"/>
            <w:noWrap/>
            <w:vAlign w:val="center"/>
            <w:hideMark/>
          </w:tcPr>
          <w:p w14:paraId="795A9F5D" w14:textId="77777777" w:rsidR="006747CA" w:rsidRPr="006747CA" w:rsidRDefault="006747CA" w:rsidP="005C0E96">
            <w:pPr>
              <w:jc w:val="right"/>
            </w:pPr>
            <w:r w:rsidRPr="006747CA">
              <w:t>8,3</w:t>
            </w:r>
          </w:p>
        </w:tc>
        <w:tc>
          <w:tcPr>
            <w:tcW w:w="1451" w:type="dxa"/>
            <w:noWrap/>
            <w:vAlign w:val="center"/>
            <w:hideMark/>
          </w:tcPr>
          <w:p w14:paraId="24A0A49A" w14:textId="77777777" w:rsidR="006747CA" w:rsidRPr="006747CA" w:rsidRDefault="006747CA" w:rsidP="005C0E96">
            <w:pPr>
              <w:jc w:val="right"/>
            </w:pPr>
            <w:r w:rsidRPr="006747CA">
              <w:t>7,5</w:t>
            </w:r>
          </w:p>
        </w:tc>
      </w:tr>
      <w:tr w:rsidR="006747CA" w:rsidRPr="006747CA" w14:paraId="51E56467" w14:textId="77777777" w:rsidTr="005C0E96">
        <w:trPr>
          <w:trHeight w:val="300"/>
        </w:trPr>
        <w:tc>
          <w:tcPr>
            <w:tcW w:w="1200" w:type="dxa"/>
            <w:noWrap/>
            <w:hideMark/>
          </w:tcPr>
          <w:p w14:paraId="031C5363" w14:textId="77777777" w:rsidR="006747CA" w:rsidRPr="006747CA" w:rsidRDefault="006747CA" w:rsidP="006747CA">
            <w:r w:rsidRPr="006747CA">
              <w:t>4</w:t>
            </w:r>
          </w:p>
        </w:tc>
        <w:tc>
          <w:tcPr>
            <w:tcW w:w="1595" w:type="dxa"/>
            <w:noWrap/>
            <w:vAlign w:val="center"/>
            <w:hideMark/>
          </w:tcPr>
          <w:p w14:paraId="70B7A580" w14:textId="77777777" w:rsidR="006747CA" w:rsidRPr="006747CA" w:rsidRDefault="006747CA" w:rsidP="005C0E96">
            <w:pPr>
              <w:jc w:val="right"/>
            </w:pPr>
            <w:r w:rsidRPr="006747CA">
              <w:t xml:space="preserve">          0,92 </w:t>
            </w:r>
          </w:p>
        </w:tc>
        <w:tc>
          <w:tcPr>
            <w:tcW w:w="1451" w:type="dxa"/>
            <w:noWrap/>
            <w:vAlign w:val="center"/>
            <w:hideMark/>
          </w:tcPr>
          <w:p w14:paraId="5055039B" w14:textId="77777777" w:rsidR="006747CA" w:rsidRPr="006747CA" w:rsidRDefault="006747CA" w:rsidP="005C0E96">
            <w:pPr>
              <w:jc w:val="right"/>
            </w:pPr>
            <w:r w:rsidRPr="006747CA">
              <w:t xml:space="preserve">          0,90 </w:t>
            </w:r>
          </w:p>
        </w:tc>
        <w:tc>
          <w:tcPr>
            <w:tcW w:w="1595" w:type="dxa"/>
            <w:noWrap/>
            <w:vAlign w:val="center"/>
            <w:hideMark/>
          </w:tcPr>
          <w:p w14:paraId="687835A3" w14:textId="77777777" w:rsidR="006747CA" w:rsidRPr="006747CA" w:rsidRDefault="006747CA" w:rsidP="005C0E96">
            <w:pPr>
              <w:jc w:val="right"/>
            </w:pPr>
            <w:r w:rsidRPr="006747CA">
              <w:t>11,2</w:t>
            </w:r>
          </w:p>
        </w:tc>
        <w:tc>
          <w:tcPr>
            <w:tcW w:w="1451" w:type="dxa"/>
            <w:noWrap/>
            <w:vAlign w:val="center"/>
            <w:hideMark/>
          </w:tcPr>
          <w:p w14:paraId="66AE905E" w14:textId="77777777" w:rsidR="006747CA" w:rsidRPr="006747CA" w:rsidRDefault="006747CA" w:rsidP="005C0E96">
            <w:pPr>
              <w:jc w:val="right"/>
            </w:pPr>
            <w:r w:rsidRPr="006747CA">
              <w:t>11,3</w:t>
            </w:r>
          </w:p>
        </w:tc>
      </w:tr>
      <w:tr w:rsidR="006747CA" w:rsidRPr="006747CA" w14:paraId="4F9676CD" w14:textId="77777777" w:rsidTr="005C0E96">
        <w:trPr>
          <w:trHeight w:val="300"/>
        </w:trPr>
        <w:tc>
          <w:tcPr>
            <w:tcW w:w="1200" w:type="dxa"/>
            <w:noWrap/>
            <w:hideMark/>
          </w:tcPr>
          <w:p w14:paraId="68499FBA" w14:textId="77777777" w:rsidR="006747CA" w:rsidRPr="006747CA" w:rsidRDefault="006747CA" w:rsidP="006747CA">
            <w:r w:rsidRPr="006747CA">
              <w:t>5</w:t>
            </w:r>
          </w:p>
        </w:tc>
        <w:tc>
          <w:tcPr>
            <w:tcW w:w="1595" w:type="dxa"/>
            <w:noWrap/>
            <w:vAlign w:val="center"/>
            <w:hideMark/>
          </w:tcPr>
          <w:p w14:paraId="6B819A61" w14:textId="77777777" w:rsidR="006747CA" w:rsidRPr="006747CA" w:rsidRDefault="006747CA" w:rsidP="005C0E96">
            <w:pPr>
              <w:jc w:val="right"/>
            </w:pPr>
            <w:r w:rsidRPr="006747CA">
              <w:t xml:space="preserve">          1,00 </w:t>
            </w:r>
          </w:p>
        </w:tc>
        <w:tc>
          <w:tcPr>
            <w:tcW w:w="1451" w:type="dxa"/>
            <w:noWrap/>
            <w:vAlign w:val="center"/>
            <w:hideMark/>
          </w:tcPr>
          <w:p w14:paraId="660C6616" w14:textId="77777777" w:rsidR="006747CA" w:rsidRPr="006747CA" w:rsidRDefault="006747CA" w:rsidP="005C0E96">
            <w:pPr>
              <w:jc w:val="right"/>
            </w:pPr>
            <w:r w:rsidRPr="006747CA">
              <w:t xml:space="preserve">          1,00 </w:t>
            </w:r>
          </w:p>
        </w:tc>
        <w:tc>
          <w:tcPr>
            <w:tcW w:w="1595" w:type="dxa"/>
            <w:noWrap/>
            <w:vAlign w:val="center"/>
            <w:hideMark/>
          </w:tcPr>
          <w:p w14:paraId="04B534BC" w14:textId="77777777" w:rsidR="006747CA" w:rsidRPr="006747CA" w:rsidRDefault="006747CA" w:rsidP="005C0E96">
            <w:pPr>
              <w:jc w:val="right"/>
            </w:pPr>
            <w:r w:rsidRPr="006747CA">
              <w:t>12,2</w:t>
            </w:r>
          </w:p>
        </w:tc>
        <w:tc>
          <w:tcPr>
            <w:tcW w:w="1451" w:type="dxa"/>
            <w:noWrap/>
            <w:vAlign w:val="center"/>
            <w:hideMark/>
          </w:tcPr>
          <w:p w14:paraId="36B4C280" w14:textId="77777777" w:rsidR="006747CA" w:rsidRPr="006747CA" w:rsidRDefault="006747CA" w:rsidP="005C0E96">
            <w:pPr>
              <w:jc w:val="right"/>
            </w:pPr>
            <w:r w:rsidRPr="006747CA">
              <w:t>12,5</w:t>
            </w:r>
          </w:p>
        </w:tc>
      </w:tr>
      <w:tr w:rsidR="006747CA" w:rsidRPr="006747CA" w14:paraId="3C26BAD4" w14:textId="77777777" w:rsidTr="005C0E96">
        <w:trPr>
          <w:trHeight w:val="300"/>
        </w:trPr>
        <w:tc>
          <w:tcPr>
            <w:tcW w:w="1200" w:type="dxa"/>
            <w:noWrap/>
            <w:hideMark/>
          </w:tcPr>
          <w:p w14:paraId="5A586931" w14:textId="77777777" w:rsidR="006747CA" w:rsidRPr="006747CA" w:rsidRDefault="006747CA" w:rsidP="006747CA">
            <w:r w:rsidRPr="006747CA">
              <w:t>6</w:t>
            </w:r>
          </w:p>
        </w:tc>
        <w:tc>
          <w:tcPr>
            <w:tcW w:w="1595" w:type="dxa"/>
            <w:noWrap/>
            <w:vAlign w:val="center"/>
            <w:hideMark/>
          </w:tcPr>
          <w:p w14:paraId="0CC86B06" w14:textId="77777777" w:rsidR="006747CA" w:rsidRPr="006747CA" w:rsidRDefault="006747CA" w:rsidP="005C0E96">
            <w:pPr>
              <w:jc w:val="right"/>
            </w:pPr>
            <w:r w:rsidRPr="006747CA">
              <w:t xml:space="preserve">          1,00 </w:t>
            </w:r>
          </w:p>
        </w:tc>
        <w:tc>
          <w:tcPr>
            <w:tcW w:w="1451" w:type="dxa"/>
            <w:noWrap/>
            <w:vAlign w:val="center"/>
            <w:hideMark/>
          </w:tcPr>
          <w:p w14:paraId="7FBE8012" w14:textId="77777777" w:rsidR="006747CA" w:rsidRPr="006747CA" w:rsidRDefault="006747CA" w:rsidP="005C0E96">
            <w:pPr>
              <w:jc w:val="right"/>
            </w:pPr>
            <w:r w:rsidRPr="006747CA">
              <w:t xml:space="preserve">          1,00 </w:t>
            </w:r>
          </w:p>
        </w:tc>
        <w:tc>
          <w:tcPr>
            <w:tcW w:w="1595" w:type="dxa"/>
            <w:noWrap/>
            <w:vAlign w:val="center"/>
            <w:hideMark/>
          </w:tcPr>
          <w:p w14:paraId="4A4429E6" w14:textId="77777777" w:rsidR="006747CA" w:rsidRPr="006747CA" w:rsidRDefault="006747CA" w:rsidP="005C0E96">
            <w:pPr>
              <w:jc w:val="right"/>
            </w:pPr>
            <w:r w:rsidRPr="006747CA">
              <w:t>12,2</w:t>
            </w:r>
          </w:p>
        </w:tc>
        <w:tc>
          <w:tcPr>
            <w:tcW w:w="1451" w:type="dxa"/>
            <w:noWrap/>
            <w:vAlign w:val="center"/>
            <w:hideMark/>
          </w:tcPr>
          <w:p w14:paraId="34084408" w14:textId="77777777" w:rsidR="006747CA" w:rsidRPr="006747CA" w:rsidRDefault="006747CA" w:rsidP="005C0E96">
            <w:pPr>
              <w:jc w:val="right"/>
            </w:pPr>
            <w:r w:rsidRPr="006747CA">
              <w:t>12,5</w:t>
            </w:r>
          </w:p>
        </w:tc>
      </w:tr>
      <w:tr w:rsidR="006747CA" w:rsidRPr="006747CA" w14:paraId="640ABEB2" w14:textId="77777777" w:rsidTr="005C0E96">
        <w:trPr>
          <w:trHeight w:val="300"/>
        </w:trPr>
        <w:tc>
          <w:tcPr>
            <w:tcW w:w="1200" w:type="dxa"/>
            <w:noWrap/>
            <w:hideMark/>
          </w:tcPr>
          <w:p w14:paraId="34DA1B47" w14:textId="77777777" w:rsidR="006747CA" w:rsidRPr="006747CA" w:rsidRDefault="006747CA" w:rsidP="006747CA">
            <w:r w:rsidRPr="006747CA">
              <w:t>7</w:t>
            </w:r>
          </w:p>
        </w:tc>
        <w:tc>
          <w:tcPr>
            <w:tcW w:w="1595" w:type="dxa"/>
            <w:noWrap/>
            <w:vAlign w:val="center"/>
            <w:hideMark/>
          </w:tcPr>
          <w:p w14:paraId="2E55387A" w14:textId="77777777" w:rsidR="006747CA" w:rsidRPr="006747CA" w:rsidRDefault="006747CA" w:rsidP="005C0E96">
            <w:pPr>
              <w:jc w:val="right"/>
            </w:pPr>
            <w:r w:rsidRPr="006747CA">
              <w:t xml:space="preserve">          1,00 </w:t>
            </w:r>
          </w:p>
        </w:tc>
        <w:tc>
          <w:tcPr>
            <w:tcW w:w="1451" w:type="dxa"/>
            <w:noWrap/>
            <w:vAlign w:val="center"/>
            <w:hideMark/>
          </w:tcPr>
          <w:p w14:paraId="16647751" w14:textId="77777777" w:rsidR="006747CA" w:rsidRPr="006747CA" w:rsidRDefault="006747CA" w:rsidP="005C0E96">
            <w:pPr>
              <w:jc w:val="right"/>
            </w:pPr>
            <w:r w:rsidRPr="006747CA">
              <w:t xml:space="preserve">          1,00 </w:t>
            </w:r>
          </w:p>
        </w:tc>
        <w:tc>
          <w:tcPr>
            <w:tcW w:w="1595" w:type="dxa"/>
            <w:noWrap/>
            <w:vAlign w:val="center"/>
            <w:hideMark/>
          </w:tcPr>
          <w:p w14:paraId="27420D7C" w14:textId="77777777" w:rsidR="006747CA" w:rsidRPr="006747CA" w:rsidRDefault="006747CA" w:rsidP="005C0E96">
            <w:pPr>
              <w:jc w:val="right"/>
            </w:pPr>
            <w:r w:rsidRPr="006747CA">
              <w:t>12,2</w:t>
            </w:r>
          </w:p>
        </w:tc>
        <w:tc>
          <w:tcPr>
            <w:tcW w:w="1451" w:type="dxa"/>
            <w:noWrap/>
            <w:vAlign w:val="center"/>
            <w:hideMark/>
          </w:tcPr>
          <w:p w14:paraId="2C0C0439" w14:textId="77777777" w:rsidR="006747CA" w:rsidRPr="006747CA" w:rsidRDefault="006747CA" w:rsidP="005C0E96">
            <w:pPr>
              <w:jc w:val="right"/>
            </w:pPr>
            <w:r w:rsidRPr="006747CA">
              <w:t>12,5</w:t>
            </w:r>
          </w:p>
        </w:tc>
      </w:tr>
      <w:tr w:rsidR="006747CA" w:rsidRPr="006747CA" w14:paraId="7298F8A1" w14:textId="77777777" w:rsidTr="005C0E96">
        <w:trPr>
          <w:trHeight w:val="300"/>
        </w:trPr>
        <w:tc>
          <w:tcPr>
            <w:tcW w:w="1200" w:type="dxa"/>
            <w:noWrap/>
            <w:hideMark/>
          </w:tcPr>
          <w:p w14:paraId="0B429127" w14:textId="77777777" w:rsidR="006747CA" w:rsidRPr="006747CA" w:rsidRDefault="006747CA" w:rsidP="006747CA">
            <w:r w:rsidRPr="006747CA">
              <w:lastRenderedPageBreak/>
              <w:t>8</w:t>
            </w:r>
          </w:p>
        </w:tc>
        <w:tc>
          <w:tcPr>
            <w:tcW w:w="1595" w:type="dxa"/>
            <w:noWrap/>
            <w:vAlign w:val="center"/>
            <w:hideMark/>
          </w:tcPr>
          <w:p w14:paraId="13C73A85" w14:textId="77777777" w:rsidR="006747CA" w:rsidRPr="006747CA" w:rsidRDefault="006747CA" w:rsidP="005C0E96">
            <w:pPr>
              <w:jc w:val="right"/>
            </w:pPr>
            <w:r w:rsidRPr="006747CA">
              <w:t xml:space="preserve">          1,00 </w:t>
            </w:r>
          </w:p>
        </w:tc>
        <w:tc>
          <w:tcPr>
            <w:tcW w:w="1451" w:type="dxa"/>
            <w:noWrap/>
            <w:vAlign w:val="center"/>
            <w:hideMark/>
          </w:tcPr>
          <w:p w14:paraId="5D1CC061" w14:textId="77777777" w:rsidR="006747CA" w:rsidRPr="006747CA" w:rsidRDefault="006747CA" w:rsidP="005C0E96">
            <w:pPr>
              <w:jc w:val="right"/>
            </w:pPr>
            <w:r w:rsidRPr="006747CA">
              <w:t xml:space="preserve">          1,00 </w:t>
            </w:r>
          </w:p>
        </w:tc>
        <w:tc>
          <w:tcPr>
            <w:tcW w:w="1595" w:type="dxa"/>
            <w:noWrap/>
            <w:vAlign w:val="center"/>
            <w:hideMark/>
          </w:tcPr>
          <w:p w14:paraId="330D2EB1" w14:textId="77777777" w:rsidR="006747CA" w:rsidRPr="006747CA" w:rsidRDefault="006747CA" w:rsidP="005C0E96">
            <w:pPr>
              <w:jc w:val="right"/>
            </w:pPr>
            <w:r w:rsidRPr="006747CA">
              <w:t>12,2</w:t>
            </w:r>
          </w:p>
        </w:tc>
        <w:tc>
          <w:tcPr>
            <w:tcW w:w="1451" w:type="dxa"/>
            <w:noWrap/>
            <w:vAlign w:val="center"/>
            <w:hideMark/>
          </w:tcPr>
          <w:p w14:paraId="1BC513E5" w14:textId="77777777" w:rsidR="006747CA" w:rsidRPr="006747CA" w:rsidRDefault="006747CA" w:rsidP="005C0E96">
            <w:pPr>
              <w:jc w:val="right"/>
            </w:pPr>
            <w:r w:rsidRPr="006747CA">
              <w:t>12,5</w:t>
            </w:r>
          </w:p>
        </w:tc>
      </w:tr>
      <w:tr w:rsidR="006747CA" w:rsidRPr="006747CA" w14:paraId="0706FE51" w14:textId="77777777" w:rsidTr="005C0E96">
        <w:trPr>
          <w:trHeight w:val="300"/>
        </w:trPr>
        <w:tc>
          <w:tcPr>
            <w:tcW w:w="1200" w:type="dxa"/>
            <w:noWrap/>
            <w:hideMark/>
          </w:tcPr>
          <w:p w14:paraId="71871A6B" w14:textId="77777777" w:rsidR="006747CA" w:rsidRPr="006747CA" w:rsidRDefault="006747CA" w:rsidP="006747CA">
            <w:r w:rsidRPr="006747CA">
              <w:t>9</w:t>
            </w:r>
          </w:p>
        </w:tc>
        <w:tc>
          <w:tcPr>
            <w:tcW w:w="1595" w:type="dxa"/>
            <w:noWrap/>
            <w:vAlign w:val="center"/>
            <w:hideMark/>
          </w:tcPr>
          <w:p w14:paraId="670D644B" w14:textId="77777777" w:rsidR="006747CA" w:rsidRPr="006747CA" w:rsidRDefault="006747CA" w:rsidP="005C0E96">
            <w:pPr>
              <w:jc w:val="right"/>
            </w:pPr>
            <w:r w:rsidRPr="006747CA">
              <w:t xml:space="preserve">          1,00 </w:t>
            </w:r>
          </w:p>
        </w:tc>
        <w:tc>
          <w:tcPr>
            <w:tcW w:w="1451" w:type="dxa"/>
            <w:noWrap/>
            <w:vAlign w:val="center"/>
            <w:hideMark/>
          </w:tcPr>
          <w:p w14:paraId="07CD80F8" w14:textId="77777777" w:rsidR="006747CA" w:rsidRPr="006747CA" w:rsidRDefault="006747CA" w:rsidP="005C0E96">
            <w:pPr>
              <w:jc w:val="right"/>
            </w:pPr>
            <w:r w:rsidRPr="006747CA">
              <w:t xml:space="preserve">          1,00 </w:t>
            </w:r>
          </w:p>
        </w:tc>
        <w:tc>
          <w:tcPr>
            <w:tcW w:w="1595" w:type="dxa"/>
            <w:noWrap/>
            <w:vAlign w:val="center"/>
            <w:hideMark/>
          </w:tcPr>
          <w:p w14:paraId="71D956E6" w14:textId="77777777" w:rsidR="006747CA" w:rsidRPr="006747CA" w:rsidRDefault="006747CA" w:rsidP="005C0E96">
            <w:pPr>
              <w:jc w:val="right"/>
            </w:pPr>
            <w:r w:rsidRPr="006747CA">
              <w:t>12,2</w:t>
            </w:r>
          </w:p>
        </w:tc>
        <w:tc>
          <w:tcPr>
            <w:tcW w:w="1451" w:type="dxa"/>
            <w:noWrap/>
            <w:vAlign w:val="center"/>
            <w:hideMark/>
          </w:tcPr>
          <w:p w14:paraId="39E7A739" w14:textId="77777777" w:rsidR="006747CA" w:rsidRPr="006747CA" w:rsidRDefault="006747CA" w:rsidP="005C0E96">
            <w:pPr>
              <w:jc w:val="right"/>
            </w:pPr>
            <w:r w:rsidRPr="006747CA">
              <w:t>12,5</w:t>
            </w:r>
          </w:p>
        </w:tc>
      </w:tr>
      <w:tr w:rsidR="006747CA" w:rsidRPr="006747CA" w14:paraId="273CA965" w14:textId="77777777" w:rsidTr="005C0E96">
        <w:trPr>
          <w:trHeight w:val="300"/>
        </w:trPr>
        <w:tc>
          <w:tcPr>
            <w:tcW w:w="1200" w:type="dxa"/>
            <w:noWrap/>
            <w:hideMark/>
          </w:tcPr>
          <w:p w14:paraId="32571D47" w14:textId="77777777" w:rsidR="006747CA" w:rsidRPr="006747CA" w:rsidRDefault="006747CA" w:rsidP="006747CA">
            <w:r w:rsidRPr="006747CA">
              <w:t>10</w:t>
            </w:r>
          </w:p>
        </w:tc>
        <w:tc>
          <w:tcPr>
            <w:tcW w:w="1595" w:type="dxa"/>
            <w:noWrap/>
            <w:vAlign w:val="center"/>
            <w:hideMark/>
          </w:tcPr>
          <w:p w14:paraId="530AFAF1" w14:textId="77777777" w:rsidR="006747CA" w:rsidRPr="006747CA" w:rsidRDefault="006747CA" w:rsidP="005C0E96">
            <w:pPr>
              <w:jc w:val="right"/>
            </w:pPr>
            <w:r w:rsidRPr="006747CA">
              <w:t xml:space="preserve">          1,02 </w:t>
            </w:r>
          </w:p>
        </w:tc>
        <w:tc>
          <w:tcPr>
            <w:tcW w:w="1451" w:type="dxa"/>
            <w:noWrap/>
            <w:vAlign w:val="center"/>
            <w:hideMark/>
          </w:tcPr>
          <w:p w14:paraId="6749DAB2" w14:textId="77777777" w:rsidR="006747CA" w:rsidRPr="006747CA" w:rsidRDefault="006747CA" w:rsidP="005C0E96">
            <w:pPr>
              <w:jc w:val="right"/>
            </w:pPr>
            <w:r w:rsidRPr="006747CA">
              <w:t xml:space="preserve">          1,02 </w:t>
            </w:r>
          </w:p>
        </w:tc>
        <w:tc>
          <w:tcPr>
            <w:tcW w:w="1595" w:type="dxa"/>
            <w:noWrap/>
            <w:vAlign w:val="center"/>
            <w:hideMark/>
          </w:tcPr>
          <w:p w14:paraId="1757D521" w14:textId="77777777" w:rsidR="006747CA" w:rsidRPr="006747CA" w:rsidRDefault="006747CA" w:rsidP="005C0E96">
            <w:pPr>
              <w:jc w:val="right"/>
            </w:pPr>
            <w:r w:rsidRPr="006747CA">
              <w:t>12,4</w:t>
            </w:r>
          </w:p>
        </w:tc>
        <w:tc>
          <w:tcPr>
            <w:tcW w:w="1451" w:type="dxa"/>
            <w:noWrap/>
            <w:vAlign w:val="center"/>
            <w:hideMark/>
          </w:tcPr>
          <w:p w14:paraId="1F980D23" w14:textId="77777777" w:rsidR="006747CA" w:rsidRPr="006747CA" w:rsidRDefault="006747CA" w:rsidP="005C0E96">
            <w:pPr>
              <w:jc w:val="right"/>
            </w:pPr>
            <w:r w:rsidRPr="006747CA">
              <w:t>12,7</w:t>
            </w:r>
          </w:p>
        </w:tc>
      </w:tr>
    </w:tbl>
    <w:p w14:paraId="4E5D2B3A" w14:textId="6DAEA168" w:rsidR="009748BE" w:rsidRDefault="00547DC5" w:rsidP="0044118E">
      <w:r>
        <w:t>Source: Statistics Norway</w:t>
      </w:r>
    </w:p>
    <w:p w14:paraId="7533CB6A" w14:textId="0FCACE29" w:rsidR="00E35AA3" w:rsidRDefault="00E35AA3" w:rsidP="0044118E">
      <w:r>
        <w:t>Furthe</w:t>
      </w:r>
      <w:r w:rsidR="00B746DA">
        <w:t>r</w:t>
      </w:r>
      <w:r>
        <w:t>more</w:t>
      </w:r>
      <w:r w:rsidR="004C26DF">
        <w:t>,</w:t>
      </w:r>
      <w:r>
        <w:t xml:space="preserve"> the distribution is significantly more une</w:t>
      </w:r>
      <w:r w:rsidR="004C26DF">
        <w:t>qual in the new predicted data due to more frequent low values, measured with a Gini-coefficient</w:t>
      </w:r>
      <w:r w:rsidR="00637CD7">
        <w:rPr>
          <w:rStyle w:val="Fotnotereferanse"/>
        </w:rPr>
        <w:footnoteReference w:id="4"/>
      </w:r>
      <w:r w:rsidR="0081126B">
        <w:t>,</w:t>
      </w:r>
      <w:r w:rsidR="00402068">
        <w:t xml:space="preserve"> and</w:t>
      </w:r>
      <w:r w:rsidR="004C26DF">
        <w:t xml:space="preserve"> the same is apparent if measured as skewedness</w:t>
      </w:r>
      <w:r w:rsidR="00402068">
        <w:t xml:space="preserve"> or variance</w:t>
      </w:r>
      <w:r w:rsidR="004C26DF">
        <w:t>.</w:t>
      </w:r>
    </w:p>
    <w:p w14:paraId="0D0DB729" w14:textId="14853BC4" w:rsidR="009748BE" w:rsidRDefault="004C26DF" w:rsidP="0044118E">
      <w:r>
        <w:t>This would in most cases have to be viewed as problematic, and rightfully is, as for earnings statistics we suddenly have more money to distribute on less working hours and for employment statistics we might be underestimating agreed working hours</w:t>
      </w:r>
      <w:r w:rsidR="00B0759E">
        <w:t>.</w:t>
      </w:r>
    </w:p>
    <w:p w14:paraId="69AC1407" w14:textId="5757B291" w:rsidR="004C26DF" w:rsidRDefault="00E45552" w:rsidP="0044118E">
      <w:r>
        <w:t xml:space="preserve">We have still not been able to asses whether we have further possibilities in the prequalification or in improving the model specifications, or if these predicted values </w:t>
      </w:r>
      <w:proofErr w:type="gramStart"/>
      <w:r>
        <w:t>actually reveal</w:t>
      </w:r>
      <w:proofErr w:type="gramEnd"/>
      <w:r>
        <w:t xml:space="preserve"> problems in the existing statistics and thereby the data. A combination of the two</w:t>
      </w:r>
      <w:r w:rsidR="00BF7BEC">
        <w:t xml:space="preserve"> mentioned hypotheticals </w:t>
      </w:r>
      <w:r>
        <w:t xml:space="preserve">might be </w:t>
      </w:r>
      <w:r w:rsidR="00BF7BEC">
        <w:t>just as correct.</w:t>
      </w:r>
    </w:p>
    <w:p w14:paraId="416A7216" w14:textId="2E06B1E7" w:rsidR="001E32E9" w:rsidRDefault="001E32E9" w:rsidP="001E32E9">
      <w:pPr>
        <w:pStyle w:val="Overskrift3"/>
      </w:pPr>
      <w:r>
        <w:t xml:space="preserve">Passing judgment </w:t>
      </w:r>
    </w:p>
    <w:p w14:paraId="62C356B3" w14:textId="683BDCD3" w:rsidR="00402068" w:rsidRDefault="00CB5AAE" w:rsidP="009441AB">
      <w:r>
        <w:t>E</w:t>
      </w:r>
      <w:r w:rsidR="009441AB" w:rsidRPr="002C31F1">
        <w:t xml:space="preserve">xperience </w:t>
      </w:r>
      <w:r w:rsidR="00BF7BEC">
        <w:t xml:space="preserve">so far has highlighted several interesting experiences that we would like to </w:t>
      </w:r>
      <w:r>
        <w:t>share</w:t>
      </w:r>
      <w:r w:rsidR="00BF7BEC">
        <w:t xml:space="preserve"> and not the least disclose to further discussion and notice for applying ML.</w:t>
      </w:r>
      <w:r w:rsidR="00551FE1">
        <w:t xml:space="preserve"> </w:t>
      </w:r>
      <w:r w:rsidR="00BF7BEC">
        <w:t xml:space="preserve">The </w:t>
      </w:r>
      <w:r w:rsidR="00BF7BEC">
        <w:t xml:space="preserve">ML model we have chosen is fast and seems to be </w:t>
      </w:r>
      <w:proofErr w:type="gramStart"/>
      <w:r w:rsidR="00BF7BEC">
        <w:t>fairly easy</w:t>
      </w:r>
      <w:proofErr w:type="gramEnd"/>
      <w:r w:rsidR="00BF7BEC">
        <w:t xml:space="preserve"> to </w:t>
      </w:r>
      <w:r>
        <w:t>implement</w:t>
      </w:r>
      <w:r w:rsidR="00551FE1">
        <w:t xml:space="preserve">. </w:t>
      </w:r>
      <w:r w:rsidR="00636194">
        <w:t xml:space="preserve">ML consistently produces a variation in data that </w:t>
      </w:r>
      <w:r>
        <w:t xml:space="preserve">is </w:t>
      </w:r>
      <w:r w:rsidR="00636194">
        <w:t xml:space="preserve">more consistent with what we </w:t>
      </w:r>
      <w:proofErr w:type="gramStart"/>
      <w:r w:rsidR="00636194">
        <w:t>are able to</w:t>
      </w:r>
      <w:proofErr w:type="gramEnd"/>
      <w:r w:rsidR="00636194">
        <w:t xml:space="preserve"> produce with other methods we have applied.</w:t>
      </w:r>
    </w:p>
    <w:p w14:paraId="2D01E064" w14:textId="2DDE7C5F" w:rsidR="00BF7BEC" w:rsidRDefault="00BF7BEC" w:rsidP="009441AB">
      <w:proofErr w:type="spellStart"/>
      <w:r>
        <w:t>XG</w:t>
      </w:r>
      <w:r w:rsidR="0028788C">
        <w:t>B</w:t>
      </w:r>
      <w:r>
        <w:t>oost</w:t>
      </w:r>
      <w:proofErr w:type="spellEnd"/>
      <w:r>
        <w:t xml:space="preserve"> is sensitive to the quality of the learning data and especially to the existence of extreme values/outliers. One does not have </w:t>
      </w:r>
      <w:r w:rsidR="00827D18">
        <w:t xml:space="preserve">to feed </w:t>
      </w:r>
      <w:r w:rsidR="00551FE1">
        <w:t>the mentioned outliers</w:t>
      </w:r>
      <w:r w:rsidR="00827D18">
        <w:t xml:space="preserve"> into the model but can choose to hold the most extreme observations outside of the model</w:t>
      </w:r>
      <w:r w:rsidR="00551FE1">
        <w:t>,</w:t>
      </w:r>
      <w:r w:rsidR="00827D18">
        <w:t xml:space="preserve"> which we have chosen to do. The mentioned extremes will afterwards be added to the data just not utilized in the learning data. The reason for this being that </w:t>
      </w:r>
      <w:r w:rsidR="00CB5AAE">
        <w:t xml:space="preserve">for </w:t>
      </w:r>
      <w:r w:rsidR="00827D18">
        <w:t xml:space="preserve">most of these extremes have been found in industries and occupations that are not represented in the data that need </w:t>
      </w:r>
      <w:r w:rsidR="00C438C9">
        <w:t>prediction through ML</w:t>
      </w:r>
      <w:r w:rsidR="00827D18">
        <w:t>.</w:t>
      </w:r>
    </w:p>
    <w:p w14:paraId="48F7EA18" w14:textId="7B1A2A59" w:rsidR="00551FE1" w:rsidRDefault="00827D18" w:rsidP="009441AB">
      <w:r>
        <w:lastRenderedPageBreak/>
        <w:t xml:space="preserve">When first set up our choice of ML does need continual supervision, in other words we </w:t>
      </w:r>
      <w:proofErr w:type="gramStart"/>
      <w:r>
        <w:t>have to</w:t>
      </w:r>
      <w:proofErr w:type="gramEnd"/>
      <w:r>
        <w:t xml:space="preserve"> check </w:t>
      </w:r>
      <w:r w:rsidR="00551FE1">
        <w:t xml:space="preserve">both </w:t>
      </w:r>
      <w:r>
        <w:t xml:space="preserve">parameters and preparation of </w:t>
      </w:r>
      <w:r w:rsidR="00475243">
        <w:t xml:space="preserve">the training </w:t>
      </w:r>
      <w:r>
        <w:t>data. If that is not done the result would be an increasing substandard quality of both results from the ML and in our case inefficient data-preparation. Our long</w:t>
      </w:r>
      <w:r w:rsidR="003F6B3B">
        <w:t>-</w:t>
      </w:r>
      <w:r>
        <w:t>term goal is that this preparation and</w:t>
      </w:r>
      <w:r w:rsidR="00475243">
        <w:t xml:space="preserve"> imputation</w:t>
      </w:r>
      <w:r>
        <w:t xml:space="preserve"> process</w:t>
      </w:r>
      <w:r w:rsidR="00551FE1">
        <w:t xml:space="preserve"> should be an integrated part of our production of annual and quarterly labour market and earnings statistics. </w:t>
      </w:r>
    </w:p>
    <w:p w14:paraId="7CFF5395" w14:textId="72BD7C5F" w:rsidR="001E32E9" w:rsidRDefault="001E32E9" w:rsidP="001E32E9">
      <w:pPr>
        <w:pStyle w:val="Overskrift2"/>
      </w:pPr>
      <w:r>
        <w:t>Summary</w:t>
      </w:r>
    </w:p>
    <w:p w14:paraId="37EB702B" w14:textId="35D78042" w:rsidR="00F63769" w:rsidRDefault="00F63769" w:rsidP="00B2149E">
      <w:r>
        <w:t xml:space="preserve">The current application </w:t>
      </w:r>
      <w:r w:rsidR="00786A88">
        <w:t xml:space="preserve">of </w:t>
      </w:r>
      <w:r>
        <w:t xml:space="preserve">ML seems, </w:t>
      </w:r>
      <w:proofErr w:type="gramStart"/>
      <w:r>
        <w:t>at the moment</w:t>
      </w:r>
      <w:proofErr w:type="gramEnd"/>
      <w:r>
        <w:t xml:space="preserve">, to be slightly biased toward smaller percentages of FTE. However, this tendency of bias is not across the board, and we are quite optimistic. We have tested several methods for selecting </w:t>
      </w:r>
      <w:r w:rsidR="0058592A">
        <w:t xml:space="preserve">training </w:t>
      </w:r>
      <w:r>
        <w:t xml:space="preserve">data and several sets of variables and transformations. </w:t>
      </w:r>
    </w:p>
    <w:p w14:paraId="6192951A" w14:textId="19362B4E" w:rsidR="001E1E58" w:rsidRDefault="00283739" w:rsidP="00B2149E">
      <w:r>
        <w:t>Even though our challenge with improving data</w:t>
      </w:r>
      <w:r w:rsidR="003F6B3B">
        <w:t xml:space="preserve"> on FTE</w:t>
      </w:r>
      <w:r>
        <w:t xml:space="preserve"> seems small in </w:t>
      </w:r>
      <w:r w:rsidR="0058592A">
        <w:t xml:space="preserve">the </w:t>
      </w:r>
      <w:r>
        <w:t>context of hav</w:t>
      </w:r>
      <w:r w:rsidR="00932BF6">
        <w:t>ing</w:t>
      </w:r>
      <w:r>
        <w:t xml:space="preserve"> such a great data source as the a-melding at our disposal, it is important to try to meet ever increasing demands from our users. While working on using ML</w:t>
      </w:r>
      <w:r w:rsidR="0058592A">
        <w:t>,</w:t>
      </w:r>
      <w:r>
        <w:t xml:space="preserve"> we have identified </w:t>
      </w:r>
      <w:r w:rsidR="003F6B3B">
        <w:t>possible</w:t>
      </w:r>
      <w:r>
        <w:t xml:space="preserve"> improvements </w:t>
      </w:r>
      <w:r w:rsidR="003F6B3B">
        <w:t>to our current production</w:t>
      </w:r>
      <w:r w:rsidR="00F63769">
        <w:t xml:space="preserve"> system</w:t>
      </w:r>
      <w:r w:rsidR="003F6B3B">
        <w:t xml:space="preserve">. In perspective we are only adjusting </w:t>
      </w:r>
      <w:r w:rsidR="00F63769">
        <w:t>data that we otherwise would impute through more crude methods or even worse</w:t>
      </w:r>
      <w:r w:rsidR="0058644B">
        <w:t>,</w:t>
      </w:r>
      <w:r w:rsidR="00F63769">
        <w:t xml:space="preserve"> discard. An improvement to FTE</w:t>
      </w:r>
      <w:r w:rsidR="00EA3E7A">
        <w:t>,</w:t>
      </w:r>
      <w:r w:rsidR="00F63769">
        <w:t xml:space="preserve"> </w:t>
      </w:r>
      <w:proofErr w:type="gramStart"/>
      <w:r w:rsidR="00F63769">
        <w:t>through the use of</w:t>
      </w:r>
      <w:proofErr w:type="gramEnd"/>
      <w:r w:rsidR="00F63769">
        <w:t xml:space="preserve"> ML</w:t>
      </w:r>
      <w:r w:rsidR="00EA3E7A">
        <w:t>,</w:t>
      </w:r>
      <w:r w:rsidR="00F63769">
        <w:t xml:space="preserve"> has already made it possible to produce more statistics on the distribution of agreed working hours and FTE.</w:t>
      </w:r>
    </w:p>
    <w:p w14:paraId="100C74A4" w14:textId="17D812C5" w:rsidR="00F63769" w:rsidRDefault="00F63769" w:rsidP="00B2149E">
      <w:proofErr w:type="gramStart"/>
      <w:r>
        <w:t>Last but not least</w:t>
      </w:r>
      <w:proofErr w:type="gramEnd"/>
      <w:r w:rsidR="00636194">
        <w:t>,</w:t>
      </w:r>
      <w:r>
        <w:t xml:space="preserve"> the use of the current data</w:t>
      </w:r>
      <w:r w:rsidR="00636194">
        <w:t xml:space="preserve"> source</w:t>
      </w:r>
      <w:r>
        <w:t xml:space="preserve"> has been a short story so far, only four years, with a steep learning curve. Through this work we have identified several </w:t>
      </w:r>
      <w:r w:rsidR="00636194">
        <w:t>possibilities</w:t>
      </w:r>
      <w:r>
        <w:t xml:space="preserve"> for improvement</w:t>
      </w:r>
      <w:r w:rsidR="00636194">
        <w:t>s but also for distributing even more detailed and accurate statistics about the labour market and earnings in the future. Hopefully</w:t>
      </w:r>
      <w:r w:rsidR="0058644B">
        <w:t>,</w:t>
      </w:r>
      <w:r w:rsidR="00636194">
        <w:t xml:space="preserve"> through this first test of ML, </w:t>
      </w:r>
      <w:r w:rsidR="0058644B">
        <w:t xml:space="preserve">we </w:t>
      </w:r>
      <w:r w:rsidR="00636194">
        <w:t>might gather the courage to utilize ML in other instances.</w:t>
      </w:r>
    </w:p>
    <w:p w14:paraId="1D249E0D" w14:textId="20D01B6A" w:rsidR="003F6B3B" w:rsidRDefault="003F6B3B" w:rsidP="00B2149E">
      <w:r>
        <w:br w:type="page"/>
      </w:r>
    </w:p>
    <w:p w14:paraId="2042BAFA" w14:textId="26CB22A4" w:rsidR="001F5354" w:rsidRDefault="001F5354" w:rsidP="001F5354">
      <w:pPr>
        <w:pStyle w:val="Overskrift2"/>
      </w:pPr>
      <w:r>
        <w:lastRenderedPageBreak/>
        <w:t xml:space="preserve">References </w:t>
      </w:r>
    </w:p>
    <w:p w14:paraId="2E90A460" w14:textId="01C60DA8" w:rsidR="006E2EFB" w:rsidRDefault="001F5354" w:rsidP="003A6822">
      <w:r w:rsidRPr="006E2EFB">
        <w:t xml:space="preserve">Brownlee, J. (2019). </w:t>
      </w:r>
      <w:r w:rsidRPr="006E2EFB">
        <w:rPr>
          <w:i/>
        </w:rPr>
        <w:t>A Gentle Introduction to XGBoost for Applied Machine Learning.</w:t>
      </w:r>
      <w:r w:rsidRPr="006E2EFB">
        <w:t xml:space="preserve"> [online]</w:t>
      </w:r>
      <w:r w:rsidR="006E2EFB" w:rsidRPr="006E2EFB">
        <w:t xml:space="preserve"> </w:t>
      </w:r>
      <w:r w:rsidRPr="006E2EFB">
        <w:t xml:space="preserve">MachineLearning Mastery. Available at: </w:t>
      </w:r>
      <w:hyperlink r:id="rId12" w:history="1">
        <w:r w:rsidRPr="006E2EFB">
          <w:rPr>
            <w:rStyle w:val="Hyperkobling"/>
          </w:rPr>
          <w:t>https://machinelearningmastery.com/gentle-introduction-xgboost-applied-machine-learning</w:t>
        </w:r>
      </w:hyperlink>
      <w:r w:rsidRPr="006E2EFB">
        <w:t xml:space="preserve"> </w:t>
      </w:r>
      <w:bookmarkStart w:id="2" w:name="_GoBack"/>
      <w:bookmarkEnd w:id="2"/>
    </w:p>
    <w:p w14:paraId="58D7EB25" w14:textId="1A81B297" w:rsidR="006E2EFB" w:rsidRDefault="001F5354" w:rsidP="003A6822">
      <w:r w:rsidRPr="006E2EFB">
        <w:t>GitHub. (2019). </w:t>
      </w:r>
      <w:r w:rsidRPr="006E2EFB">
        <w:rPr>
          <w:i/>
          <w:iCs/>
        </w:rPr>
        <w:t>dmlc/xgboost</w:t>
      </w:r>
      <w:r w:rsidRPr="006E2EFB">
        <w:t xml:space="preserve">. [online] Available at: </w:t>
      </w:r>
      <w:hyperlink r:id="rId13" w:history="1">
        <w:r w:rsidR="00D14DEF" w:rsidRPr="006E2EFB">
          <w:rPr>
            <w:rStyle w:val="Hyperkobling"/>
          </w:rPr>
          <w:t>https://github.com/dmlc/xgboost</w:t>
        </w:r>
      </w:hyperlink>
      <w:r w:rsidR="00D14DEF" w:rsidRPr="006E2EFB">
        <w:t xml:space="preserve"> </w:t>
      </w:r>
    </w:p>
    <w:p w14:paraId="139A5512" w14:textId="77777777" w:rsidR="00F83342" w:rsidRDefault="00F83342" w:rsidP="00F83342">
      <w:proofErr w:type="spellStart"/>
      <w:r w:rsidRPr="006E2EFB">
        <w:t>Pafka</w:t>
      </w:r>
      <w:proofErr w:type="spellEnd"/>
      <w:r w:rsidRPr="006E2EFB">
        <w:t>, S. (2019). </w:t>
      </w:r>
      <w:r w:rsidRPr="006E2EFB">
        <w:rPr>
          <w:i/>
          <w:iCs/>
        </w:rPr>
        <w:t>Benchmarking Random Forest Implementations | Data Science Los Angeles</w:t>
      </w:r>
      <w:r w:rsidRPr="006E2EFB">
        <w:t xml:space="preserve">. [online] DataScience.LA. Available at: </w:t>
      </w:r>
      <w:hyperlink r:id="rId14" w:history="1">
        <w:r w:rsidRPr="006E2EFB">
          <w:rPr>
            <w:rStyle w:val="Hyperkobling"/>
          </w:rPr>
          <w:t>http://datascience.la/benchmarking-random-forest-implementations</w:t>
        </w:r>
      </w:hyperlink>
      <w:r w:rsidRPr="006E2EFB">
        <w:t xml:space="preserve"> </w:t>
      </w:r>
    </w:p>
    <w:p w14:paraId="7CACFE07" w14:textId="18326756" w:rsidR="00F83342" w:rsidRPr="00F83342" w:rsidRDefault="00F83342" w:rsidP="003A6822">
      <w:pPr>
        <w:rPr>
          <w:lang w:val="en-US"/>
        </w:rPr>
      </w:pPr>
      <w:r w:rsidRPr="003D78F5">
        <w:t>Skatteetaten.no. (2019). </w:t>
      </w:r>
      <w:r w:rsidRPr="003D78F5">
        <w:rPr>
          <w:i/>
          <w:iCs/>
        </w:rPr>
        <w:t>About the a-</w:t>
      </w:r>
      <w:proofErr w:type="spellStart"/>
      <w:r w:rsidRPr="003D78F5">
        <w:rPr>
          <w:i/>
          <w:iCs/>
        </w:rPr>
        <w:t>ordning</w:t>
      </w:r>
      <w:proofErr w:type="spellEnd"/>
      <w:r w:rsidRPr="003D78F5">
        <w:t>. [online] Available at: https://www.skatteetaten.no/en/business-and-organisation/employer/the-a-melding/about-the-a-ordning/ [Accessed 26 Jun. 2019].</w:t>
      </w:r>
    </w:p>
    <w:p w14:paraId="048F108D" w14:textId="300398C1" w:rsidR="003D78F5" w:rsidRPr="003D78F5" w:rsidRDefault="001F5354" w:rsidP="003D78F5">
      <w:r w:rsidRPr="006E2EFB">
        <w:rPr>
          <w:lang w:val="en-US"/>
        </w:rPr>
        <w:t>Xgboost.readthedocs.io. (2019). </w:t>
      </w:r>
      <w:proofErr w:type="spellStart"/>
      <w:r w:rsidRPr="003D78F5">
        <w:rPr>
          <w:i/>
          <w:iCs/>
          <w:lang w:val="en-US"/>
        </w:rPr>
        <w:t>XGBoost</w:t>
      </w:r>
      <w:proofErr w:type="spellEnd"/>
      <w:r w:rsidRPr="003D78F5">
        <w:rPr>
          <w:i/>
          <w:iCs/>
          <w:lang w:val="en-US"/>
        </w:rPr>
        <w:t xml:space="preserve"> Documentation</w:t>
      </w:r>
      <w:r w:rsidRPr="003D78F5">
        <w:rPr>
          <w:lang w:val="en-US"/>
        </w:rPr>
        <w:t xml:space="preserve">. </w:t>
      </w:r>
      <w:r w:rsidRPr="006E2EFB">
        <w:t xml:space="preserve">[online] Available at: </w:t>
      </w:r>
      <w:hyperlink r:id="rId15" w:history="1">
        <w:r w:rsidR="00D94F97" w:rsidRPr="006E2EFB">
          <w:rPr>
            <w:rStyle w:val="Hyperkobling"/>
          </w:rPr>
          <w:t>https://xgboost.readthedocs.io/en/latest/</w:t>
        </w:r>
      </w:hyperlink>
      <w:r w:rsidR="00D94F97" w:rsidRPr="006E2EFB">
        <w:t xml:space="preserve"> </w:t>
      </w:r>
      <w:r w:rsidRPr="006E2EFB">
        <w:t xml:space="preserve"> </w:t>
      </w:r>
    </w:p>
    <w:sectPr w:rsidR="003D78F5" w:rsidRPr="003D78F5"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4328" w14:textId="77777777" w:rsidR="00A32C9E" w:rsidRDefault="00A32C9E" w:rsidP="002A6A14">
      <w:r>
        <w:separator/>
      </w:r>
    </w:p>
  </w:endnote>
  <w:endnote w:type="continuationSeparator" w:id="0">
    <w:p w14:paraId="4DC79652" w14:textId="77777777" w:rsidR="00A32C9E" w:rsidRDefault="00A32C9E"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14:paraId="1B671EBE" w14:textId="11269455" w:rsidR="00A32C9E" w:rsidRPr="009378F5" w:rsidRDefault="00A32C9E" w:rsidP="002A6A14">
        <w:pPr>
          <w:pStyle w:val="Bunntekst"/>
        </w:pPr>
        <w:r w:rsidRPr="009378F5">
          <w:fldChar w:fldCharType="begin"/>
        </w:r>
        <w:r w:rsidRPr="009378F5">
          <w:instrText>PAGE   \* MERGEFORMAT</w:instrText>
        </w:r>
        <w:r w:rsidRPr="009378F5">
          <w:fldChar w:fldCharType="separate"/>
        </w:r>
        <w:r>
          <w:rPr>
            <w:noProof/>
          </w:rPr>
          <w:t>17</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EF4F" w14:textId="77777777" w:rsidR="00A32C9E" w:rsidRDefault="00A32C9E" w:rsidP="002A6A14">
      <w:r>
        <w:separator/>
      </w:r>
    </w:p>
  </w:footnote>
  <w:footnote w:type="continuationSeparator" w:id="0">
    <w:p w14:paraId="39A47E7E" w14:textId="77777777" w:rsidR="00A32C9E" w:rsidRDefault="00A32C9E" w:rsidP="002A6A14">
      <w:r>
        <w:continuationSeparator/>
      </w:r>
    </w:p>
  </w:footnote>
  <w:footnote w:id="1">
    <w:p w14:paraId="28425401" w14:textId="471D3E2B" w:rsidR="00C25931" w:rsidRPr="00C25931" w:rsidRDefault="00C25931">
      <w:pPr>
        <w:pStyle w:val="Fotnotetekst"/>
      </w:pPr>
      <w:r>
        <w:rPr>
          <w:rStyle w:val="Fotnotereferanse"/>
        </w:rPr>
        <w:footnoteRef/>
      </w:r>
      <w:r>
        <w:t xml:space="preserve"> In some cases, for small </w:t>
      </w:r>
      <w:r w:rsidRPr="00EF1A91">
        <w:t xml:space="preserve">enterprises that do not have a payroll system, the a-melding can be submitted online electronically via the governmental dialogue system </w:t>
      </w:r>
      <w:proofErr w:type="spellStart"/>
      <w:r w:rsidRPr="00A41397">
        <w:rPr>
          <w:i/>
        </w:rPr>
        <w:t>Altinn</w:t>
      </w:r>
      <w:proofErr w:type="spellEnd"/>
    </w:p>
  </w:footnote>
  <w:footnote w:id="2">
    <w:p w14:paraId="5C6D7223" w14:textId="2EF08113" w:rsidR="00A32C9E" w:rsidRPr="0088094D" w:rsidRDefault="00A32C9E">
      <w:pPr>
        <w:pStyle w:val="Fotnotetekst"/>
      </w:pPr>
      <w:r>
        <w:rPr>
          <w:rStyle w:val="Fotnotereferanse"/>
        </w:rPr>
        <w:footnoteRef/>
      </w:r>
      <w:r>
        <w:t xml:space="preserve"> </w:t>
      </w:r>
      <w:r w:rsidRPr="002E11E5">
        <w:t>Reasons for disqualification differentiate as de</w:t>
      </w:r>
      <w:r>
        <w:t xml:space="preserve">scribed above </w:t>
      </w:r>
    </w:p>
  </w:footnote>
  <w:footnote w:id="3">
    <w:p w14:paraId="77469C7F" w14:textId="42C8D461" w:rsidR="00CD1E01" w:rsidRPr="00CD1E01" w:rsidRDefault="00CD1E01">
      <w:pPr>
        <w:pStyle w:val="Fotnotetekst"/>
      </w:pPr>
      <w:r>
        <w:rPr>
          <w:rStyle w:val="Fotnotereferanse"/>
        </w:rPr>
        <w:footnoteRef/>
      </w:r>
      <w:r>
        <w:t xml:space="preserve"> Includes all observations, not only those imputed</w:t>
      </w:r>
    </w:p>
  </w:footnote>
  <w:footnote w:id="4">
    <w:p w14:paraId="7253B2B7" w14:textId="07785642" w:rsidR="00637CD7" w:rsidRPr="00637CD7" w:rsidRDefault="00637CD7">
      <w:pPr>
        <w:pStyle w:val="Fotnotetekst"/>
      </w:pPr>
      <w:r>
        <w:rPr>
          <w:rStyle w:val="Fotnotereferanse"/>
        </w:rPr>
        <w:footnoteRef/>
      </w:r>
      <w:r>
        <w:t xml:space="preserve"> </w:t>
      </w:r>
      <w:r w:rsidRPr="00935782">
        <w:t xml:space="preserve">The Gini-coefficient is </w:t>
      </w:r>
      <w:r w:rsidRPr="00637CD7">
        <w:t xml:space="preserve">a </w:t>
      </w:r>
      <w:r w:rsidR="00DA2A3C" w:rsidRPr="00637CD7">
        <w:t xml:space="preserve">statistical </w:t>
      </w:r>
      <w:r w:rsidRPr="00637CD7">
        <w:t>measure of dispersion</w:t>
      </w:r>
      <w:r>
        <w:t xml:space="preserve">. </w:t>
      </w:r>
      <w:r w:rsidRPr="00637CD7">
        <w:t>A Gini coefficient of zero expresses perfect equality, where all values are the same. A Gini coefficient of 1 expresses maximal inequality among values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B17E" w14:textId="77777777" w:rsidR="00A32C9E" w:rsidRDefault="00A30464" w:rsidP="002A6A14">
    <w:pPr>
      <w:pStyle w:val="Topptekst"/>
    </w:pPr>
    <w:r>
      <w:rPr>
        <w:noProof/>
        <w:lang w:eastAsia="pl-PL"/>
      </w:rPr>
      <w:pict w14:anchorId="345B2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8818" w14:textId="77777777" w:rsidR="00A32C9E" w:rsidRPr="000B0921" w:rsidRDefault="00A32C9E" w:rsidP="002A6A14">
    <w:pPr>
      <w:pStyle w:val="Topptekst"/>
    </w:pPr>
    <w:r>
      <w:rPr>
        <w:noProof/>
        <w:lang w:val="is-IS" w:eastAsia="is-IS"/>
      </w:rPr>
      <w:drawing>
        <wp:inline distT="0" distB="0" distL="0" distR="0" wp14:anchorId="27EADAE9" wp14:editId="77DCEED6">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F600" w14:textId="77777777" w:rsidR="00A32C9E" w:rsidRDefault="00A30464" w:rsidP="002A6A14">
    <w:pPr>
      <w:pStyle w:val="Topptekst"/>
    </w:pPr>
    <w:r>
      <w:rPr>
        <w:noProof/>
        <w:lang w:eastAsia="pl-PL"/>
      </w:rPr>
      <w:pict w14:anchorId="71C39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741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E3A0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1C369B04"/>
    <w:lvl w:ilvl="0">
      <w:start w:val="1"/>
      <w:numFmt w:val="decimal"/>
      <w:lvlText w:val="%1."/>
      <w:lvlJc w:val="left"/>
      <w:pPr>
        <w:tabs>
          <w:tab w:val="num" w:pos="643"/>
        </w:tabs>
        <w:ind w:left="643" w:hanging="360"/>
      </w:pPr>
    </w:lvl>
  </w:abstractNum>
  <w:abstractNum w:abstractNumId="3" w15:restartNumberingAfterBreak="0">
    <w:nsid w:val="FFFFFF83"/>
    <w:multiLevelType w:val="singleLevel"/>
    <w:tmpl w:val="71A2BD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0CCEAA86"/>
    <w:lvl w:ilvl="0">
      <w:start w:val="1"/>
      <w:numFmt w:val="decimal"/>
      <w:lvlText w:val="%1."/>
      <w:lvlJc w:val="left"/>
      <w:pPr>
        <w:tabs>
          <w:tab w:val="num" w:pos="360"/>
        </w:tabs>
        <w:ind w:left="360" w:hanging="360"/>
      </w:pPr>
    </w:lvl>
  </w:abstractNum>
  <w:abstractNum w:abstractNumId="5" w15:restartNumberingAfterBreak="0">
    <w:nsid w:val="026B04B6"/>
    <w:multiLevelType w:val="hybridMultilevel"/>
    <w:tmpl w:val="D7B026A2"/>
    <w:lvl w:ilvl="0" w:tplc="F47CD188">
      <w:start w:val="4"/>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6C61A3D"/>
    <w:multiLevelType w:val="hybridMultilevel"/>
    <w:tmpl w:val="76AE8F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A96BAA"/>
    <w:multiLevelType w:val="multilevel"/>
    <w:tmpl w:val="8C68D9BC"/>
    <w:lvl w:ilvl="0">
      <w:start w:val="1"/>
      <w:numFmt w:val="decimal"/>
      <w:pStyle w:val="Overskrift2"/>
      <w:suff w:val="space"/>
      <w:lvlText w:val="%1."/>
      <w:lvlJc w:val="left"/>
      <w:pPr>
        <w:ind w:left="0" w:firstLine="0"/>
      </w:pPr>
      <w:rPr>
        <w:rFonts w:hint="default"/>
      </w:rPr>
    </w:lvl>
    <w:lvl w:ilvl="1">
      <w:start w:val="1"/>
      <w:numFmt w:val="decimal"/>
      <w:pStyle w:val="Overskrift3"/>
      <w:suff w:val="space"/>
      <w:lvlText w:val="%1.%2."/>
      <w:lvlJc w:val="left"/>
      <w:pPr>
        <w:ind w:left="0" w:firstLine="0"/>
      </w:pPr>
      <w:rPr>
        <w:rFonts w:hint="default"/>
      </w:rPr>
    </w:lvl>
    <w:lvl w:ilvl="2">
      <w:start w:val="1"/>
      <w:numFmt w:val="decimal"/>
      <w:pStyle w:val="Overskrift4"/>
      <w:suff w:val="space"/>
      <w:lvlText w:val="%1.%2.%3."/>
      <w:lvlJc w:val="left"/>
      <w:pPr>
        <w:ind w:left="709" w:firstLine="0"/>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8" w15:restartNumberingAfterBreak="0">
    <w:nsid w:val="18B21964"/>
    <w:multiLevelType w:val="hybridMultilevel"/>
    <w:tmpl w:val="8B3A9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5A21F5"/>
    <w:multiLevelType w:val="hybridMultilevel"/>
    <w:tmpl w:val="E3D87B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0EA33DC"/>
    <w:multiLevelType w:val="multilevel"/>
    <w:tmpl w:val="68D8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262A9"/>
    <w:multiLevelType w:val="hybridMultilevel"/>
    <w:tmpl w:val="9CE0DD9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12556FB"/>
    <w:multiLevelType w:val="multilevel"/>
    <w:tmpl w:val="F2CE905E"/>
    <w:lvl w:ilvl="0">
      <w:start w:val="1"/>
      <w:numFmt w:val="decimal"/>
      <w:lvlText w:val="%1)"/>
      <w:lvlJc w:val="left"/>
      <w:pPr>
        <w:tabs>
          <w:tab w:val="num" w:pos="1068"/>
        </w:tabs>
        <w:ind w:left="1068" w:hanging="360"/>
      </w:pPr>
      <w:rPr>
        <w:rFonts w:hint="default"/>
        <w:sz w:val="24"/>
        <w:szCs w:val="24"/>
      </w:rPr>
    </w:lvl>
    <w:lvl w:ilvl="1">
      <w:start w:val="1"/>
      <w:numFmt w:val="bullet"/>
      <w:lvlText w:val=""/>
      <w:lvlJc w:val="left"/>
      <w:pPr>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72057D53"/>
    <w:multiLevelType w:val="hybridMultilevel"/>
    <w:tmpl w:val="5EDA5902"/>
    <w:lvl w:ilvl="0" w:tplc="430204EE">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A53AC3"/>
    <w:multiLevelType w:val="multilevel"/>
    <w:tmpl w:val="FDDC8AF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1"/>
  </w:num>
  <w:num w:numId="9">
    <w:abstractNumId w:val="9"/>
  </w:num>
  <w:num w:numId="10">
    <w:abstractNumId w:val="8"/>
  </w:num>
  <w:num w:numId="11">
    <w:abstractNumId w:val="6"/>
  </w:num>
  <w:num w:numId="12">
    <w:abstractNumId w:val="2"/>
  </w:num>
  <w:num w:numId="13">
    <w:abstractNumId w:val="4"/>
  </w:num>
  <w:num w:numId="14">
    <w:abstractNumId w:val="1"/>
  </w:num>
  <w:num w:numId="15">
    <w:abstractNumId w:val="0"/>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1447"/>
    <w:rsid w:val="00001E94"/>
    <w:rsid w:val="00006D7F"/>
    <w:rsid w:val="00007159"/>
    <w:rsid w:val="00011F50"/>
    <w:rsid w:val="000128E2"/>
    <w:rsid w:val="000140B7"/>
    <w:rsid w:val="00015DB0"/>
    <w:rsid w:val="00016479"/>
    <w:rsid w:val="0002341F"/>
    <w:rsid w:val="000248E2"/>
    <w:rsid w:val="00024A76"/>
    <w:rsid w:val="0002643E"/>
    <w:rsid w:val="000266AF"/>
    <w:rsid w:val="00026CD3"/>
    <w:rsid w:val="00027801"/>
    <w:rsid w:val="00027F1E"/>
    <w:rsid w:val="000354BF"/>
    <w:rsid w:val="00043754"/>
    <w:rsid w:val="00043A9A"/>
    <w:rsid w:val="00046068"/>
    <w:rsid w:val="000476C8"/>
    <w:rsid w:val="00047C24"/>
    <w:rsid w:val="000556C7"/>
    <w:rsid w:val="00055A09"/>
    <w:rsid w:val="00057314"/>
    <w:rsid w:val="00057789"/>
    <w:rsid w:val="000577B2"/>
    <w:rsid w:val="00061756"/>
    <w:rsid w:val="00063D6A"/>
    <w:rsid w:val="00063DBA"/>
    <w:rsid w:val="00066660"/>
    <w:rsid w:val="00070925"/>
    <w:rsid w:val="0007243D"/>
    <w:rsid w:val="00073754"/>
    <w:rsid w:val="00076D04"/>
    <w:rsid w:val="0007704A"/>
    <w:rsid w:val="00084619"/>
    <w:rsid w:val="00087784"/>
    <w:rsid w:val="00090401"/>
    <w:rsid w:val="00090741"/>
    <w:rsid w:val="00090FA7"/>
    <w:rsid w:val="0009133E"/>
    <w:rsid w:val="000936EC"/>
    <w:rsid w:val="000948B4"/>
    <w:rsid w:val="000957CC"/>
    <w:rsid w:val="000959F4"/>
    <w:rsid w:val="00097D48"/>
    <w:rsid w:val="000A3555"/>
    <w:rsid w:val="000A6C20"/>
    <w:rsid w:val="000A7772"/>
    <w:rsid w:val="000B0921"/>
    <w:rsid w:val="000B114E"/>
    <w:rsid w:val="000B240A"/>
    <w:rsid w:val="000B79FD"/>
    <w:rsid w:val="000C2189"/>
    <w:rsid w:val="000C3646"/>
    <w:rsid w:val="000C61FC"/>
    <w:rsid w:val="000C6472"/>
    <w:rsid w:val="000D0E6E"/>
    <w:rsid w:val="000D1C30"/>
    <w:rsid w:val="000D636F"/>
    <w:rsid w:val="000D63FF"/>
    <w:rsid w:val="000D705A"/>
    <w:rsid w:val="000E07D2"/>
    <w:rsid w:val="000E0BEE"/>
    <w:rsid w:val="000E0D25"/>
    <w:rsid w:val="000F337F"/>
    <w:rsid w:val="000F35B6"/>
    <w:rsid w:val="000F4A94"/>
    <w:rsid w:val="000F548B"/>
    <w:rsid w:val="000F78D7"/>
    <w:rsid w:val="000F7F1A"/>
    <w:rsid w:val="0010249F"/>
    <w:rsid w:val="00105246"/>
    <w:rsid w:val="00105317"/>
    <w:rsid w:val="00105FAE"/>
    <w:rsid w:val="001102AC"/>
    <w:rsid w:val="0011262B"/>
    <w:rsid w:val="00114E8D"/>
    <w:rsid w:val="001168AE"/>
    <w:rsid w:val="00121636"/>
    <w:rsid w:val="00121721"/>
    <w:rsid w:val="0012426C"/>
    <w:rsid w:val="001260B0"/>
    <w:rsid w:val="001324E4"/>
    <w:rsid w:val="00133E07"/>
    <w:rsid w:val="001340D1"/>
    <w:rsid w:val="00135AA8"/>
    <w:rsid w:val="00142A8D"/>
    <w:rsid w:val="00156AB3"/>
    <w:rsid w:val="00157DAD"/>
    <w:rsid w:val="00160406"/>
    <w:rsid w:val="001604F1"/>
    <w:rsid w:val="0016183D"/>
    <w:rsid w:val="0016743D"/>
    <w:rsid w:val="00167D76"/>
    <w:rsid w:val="001715EB"/>
    <w:rsid w:val="00171A21"/>
    <w:rsid w:val="00172738"/>
    <w:rsid w:val="00173948"/>
    <w:rsid w:val="00175F78"/>
    <w:rsid w:val="00180357"/>
    <w:rsid w:val="001805FA"/>
    <w:rsid w:val="00182357"/>
    <w:rsid w:val="00184522"/>
    <w:rsid w:val="001918E1"/>
    <w:rsid w:val="00192A01"/>
    <w:rsid w:val="00193AF5"/>
    <w:rsid w:val="00194333"/>
    <w:rsid w:val="00197ADF"/>
    <w:rsid w:val="001A0E51"/>
    <w:rsid w:val="001A3403"/>
    <w:rsid w:val="001A5E83"/>
    <w:rsid w:val="001A7492"/>
    <w:rsid w:val="001B0D64"/>
    <w:rsid w:val="001B38D5"/>
    <w:rsid w:val="001B5A1C"/>
    <w:rsid w:val="001C236E"/>
    <w:rsid w:val="001C685A"/>
    <w:rsid w:val="001D1A3A"/>
    <w:rsid w:val="001D4E31"/>
    <w:rsid w:val="001E1E58"/>
    <w:rsid w:val="001E32E9"/>
    <w:rsid w:val="001E43DC"/>
    <w:rsid w:val="001F0FA6"/>
    <w:rsid w:val="001F5354"/>
    <w:rsid w:val="001F6991"/>
    <w:rsid w:val="002026EC"/>
    <w:rsid w:val="00203756"/>
    <w:rsid w:val="00204E44"/>
    <w:rsid w:val="002079A1"/>
    <w:rsid w:val="0021587F"/>
    <w:rsid w:val="00221F17"/>
    <w:rsid w:val="00223C43"/>
    <w:rsid w:val="00225212"/>
    <w:rsid w:val="00232B67"/>
    <w:rsid w:val="00233FEF"/>
    <w:rsid w:val="00234559"/>
    <w:rsid w:val="0023473D"/>
    <w:rsid w:val="00234927"/>
    <w:rsid w:val="0023623C"/>
    <w:rsid w:val="0023784D"/>
    <w:rsid w:val="00237A2B"/>
    <w:rsid w:val="00242620"/>
    <w:rsid w:val="00247C12"/>
    <w:rsid w:val="00251103"/>
    <w:rsid w:val="00254786"/>
    <w:rsid w:val="002551B5"/>
    <w:rsid w:val="002557D7"/>
    <w:rsid w:val="00255BAF"/>
    <w:rsid w:val="002602BF"/>
    <w:rsid w:val="00260AA9"/>
    <w:rsid w:val="00263939"/>
    <w:rsid w:val="00263A04"/>
    <w:rsid w:val="00263F24"/>
    <w:rsid w:val="002701D1"/>
    <w:rsid w:val="00273F95"/>
    <w:rsid w:val="00276BBB"/>
    <w:rsid w:val="002810B8"/>
    <w:rsid w:val="0028150C"/>
    <w:rsid w:val="00282B53"/>
    <w:rsid w:val="00282EFF"/>
    <w:rsid w:val="00283739"/>
    <w:rsid w:val="00284164"/>
    <w:rsid w:val="0028788C"/>
    <w:rsid w:val="00293580"/>
    <w:rsid w:val="00294FF9"/>
    <w:rsid w:val="002A233F"/>
    <w:rsid w:val="002A3E0F"/>
    <w:rsid w:val="002A4261"/>
    <w:rsid w:val="002A5B56"/>
    <w:rsid w:val="002A6A14"/>
    <w:rsid w:val="002B1AAE"/>
    <w:rsid w:val="002B3DFD"/>
    <w:rsid w:val="002B3F4D"/>
    <w:rsid w:val="002B58D1"/>
    <w:rsid w:val="002B6D33"/>
    <w:rsid w:val="002B74E1"/>
    <w:rsid w:val="002B7844"/>
    <w:rsid w:val="002D3714"/>
    <w:rsid w:val="002D41F8"/>
    <w:rsid w:val="002E11E5"/>
    <w:rsid w:val="002E2C6D"/>
    <w:rsid w:val="002E457A"/>
    <w:rsid w:val="002E7AB1"/>
    <w:rsid w:val="002F14EF"/>
    <w:rsid w:val="002F17FB"/>
    <w:rsid w:val="002F222B"/>
    <w:rsid w:val="002F6713"/>
    <w:rsid w:val="00304412"/>
    <w:rsid w:val="00306EA0"/>
    <w:rsid w:val="003075DC"/>
    <w:rsid w:val="003145C8"/>
    <w:rsid w:val="003151A6"/>
    <w:rsid w:val="003167CA"/>
    <w:rsid w:val="00316E3B"/>
    <w:rsid w:val="00320CA3"/>
    <w:rsid w:val="00325501"/>
    <w:rsid w:val="00326E03"/>
    <w:rsid w:val="00326E8C"/>
    <w:rsid w:val="00333325"/>
    <w:rsid w:val="00335E1D"/>
    <w:rsid w:val="00336E21"/>
    <w:rsid w:val="00336F22"/>
    <w:rsid w:val="00337455"/>
    <w:rsid w:val="00340DAA"/>
    <w:rsid w:val="00346260"/>
    <w:rsid w:val="00346F42"/>
    <w:rsid w:val="0035164A"/>
    <w:rsid w:val="00352022"/>
    <w:rsid w:val="003527B1"/>
    <w:rsid w:val="0035694D"/>
    <w:rsid w:val="00356B4D"/>
    <w:rsid w:val="003572EE"/>
    <w:rsid w:val="003627C4"/>
    <w:rsid w:val="00362815"/>
    <w:rsid w:val="00364BE9"/>
    <w:rsid w:val="00367616"/>
    <w:rsid w:val="0037309F"/>
    <w:rsid w:val="00373A3A"/>
    <w:rsid w:val="00383819"/>
    <w:rsid w:val="00383F9D"/>
    <w:rsid w:val="00385731"/>
    <w:rsid w:val="003907A8"/>
    <w:rsid w:val="003935B4"/>
    <w:rsid w:val="003951AB"/>
    <w:rsid w:val="003A08E0"/>
    <w:rsid w:val="003A1D16"/>
    <w:rsid w:val="003A3D37"/>
    <w:rsid w:val="003A6822"/>
    <w:rsid w:val="003A7E53"/>
    <w:rsid w:val="003B1AB1"/>
    <w:rsid w:val="003B5057"/>
    <w:rsid w:val="003B5096"/>
    <w:rsid w:val="003C29B5"/>
    <w:rsid w:val="003C3D5D"/>
    <w:rsid w:val="003C4822"/>
    <w:rsid w:val="003C6089"/>
    <w:rsid w:val="003D0235"/>
    <w:rsid w:val="003D076C"/>
    <w:rsid w:val="003D14F1"/>
    <w:rsid w:val="003D151B"/>
    <w:rsid w:val="003D1B0E"/>
    <w:rsid w:val="003D392A"/>
    <w:rsid w:val="003D3E3B"/>
    <w:rsid w:val="003D78F5"/>
    <w:rsid w:val="003E1E79"/>
    <w:rsid w:val="003E2149"/>
    <w:rsid w:val="003E3CF9"/>
    <w:rsid w:val="003E5621"/>
    <w:rsid w:val="003E5A3E"/>
    <w:rsid w:val="003E78C4"/>
    <w:rsid w:val="003F42FB"/>
    <w:rsid w:val="003F4367"/>
    <w:rsid w:val="003F69FD"/>
    <w:rsid w:val="003F6B3B"/>
    <w:rsid w:val="003F79DF"/>
    <w:rsid w:val="00402068"/>
    <w:rsid w:val="00412A30"/>
    <w:rsid w:val="004150F5"/>
    <w:rsid w:val="00415B74"/>
    <w:rsid w:val="00415F85"/>
    <w:rsid w:val="004203D4"/>
    <w:rsid w:val="00423ADE"/>
    <w:rsid w:val="00424C51"/>
    <w:rsid w:val="00432601"/>
    <w:rsid w:val="00433125"/>
    <w:rsid w:val="00433702"/>
    <w:rsid w:val="00433A4E"/>
    <w:rsid w:val="0043405B"/>
    <w:rsid w:val="004369B3"/>
    <w:rsid w:val="0044118E"/>
    <w:rsid w:val="00444157"/>
    <w:rsid w:val="00447DB6"/>
    <w:rsid w:val="00447FBC"/>
    <w:rsid w:val="004525D1"/>
    <w:rsid w:val="004538A6"/>
    <w:rsid w:val="00460F3C"/>
    <w:rsid w:val="004640E9"/>
    <w:rsid w:val="004702E3"/>
    <w:rsid w:val="004732EB"/>
    <w:rsid w:val="004740F1"/>
    <w:rsid w:val="00475243"/>
    <w:rsid w:val="00480709"/>
    <w:rsid w:val="0048313D"/>
    <w:rsid w:val="0048368B"/>
    <w:rsid w:val="00493026"/>
    <w:rsid w:val="00493327"/>
    <w:rsid w:val="00494031"/>
    <w:rsid w:val="004A12A7"/>
    <w:rsid w:val="004A1A99"/>
    <w:rsid w:val="004A5162"/>
    <w:rsid w:val="004B39C1"/>
    <w:rsid w:val="004B3B2C"/>
    <w:rsid w:val="004B6729"/>
    <w:rsid w:val="004C0F36"/>
    <w:rsid w:val="004C216E"/>
    <w:rsid w:val="004C26DF"/>
    <w:rsid w:val="004C38FF"/>
    <w:rsid w:val="004C5048"/>
    <w:rsid w:val="004C5EAF"/>
    <w:rsid w:val="004D1273"/>
    <w:rsid w:val="004D559A"/>
    <w:rsid w:val="004D72B1"/>
    <w:rsid w:val="004E063A"/>
    <w:rsid w:val="004E0AA6"/>
    <w:rsid w:val="004E10DF"/>
    <w:rsid w:val="004E1CA5"/>
    <w:rsid w:val="004E3EA8"/>
    <w:rsid w:val="004E4A76"/>
    <w:rsid w:val="004E659B"/>
    <w:rsid w:val="004F04B4"/>
    <w:rsid w:val="004F0649"/>
    <w:rsid w:val="004F2236"/>
    <w:rsid w:val="004F3655"/>
    <w:rsid w:val="004F6436"/>
    <w:rsid w:val="00504020"/>
    <w:rsid w:val="00506FE8"/>
    <w:rsid w:val="00511774"/>
    <w:rsid w:val="00514CA7"/>
    <w:rsid w:val="00516303"/>
    <w:rsid w:val="005170FD"/>
    <w:rsid w:val="005215E8"/>
    <w:rsid w:val="00522C50"/>
    <w:rsid w:val="00525E22"/>
    <w:rsid w:val="0052783A"/>
    <w:rsid w:val="00530165"/>
    <w:rsid w:val="00530FD6"/>
    <w:rsid w:val="00534259"/>
    <w:rsid w:val="0053571D"/>
    <w:rsid w:val="00542C18"/>
    <w:rsid w:val="00544BDE"/>
    <w:rsid w:val="00544D9F"/>
    <w:rsid w:val="00544F4D"/>
    <w:rsid w:val="0054728A"/>
    <w:rsid w:val="00547C3E"/>
    <w:rsid w:val="00547DC5"/>
    <w:rsid w:val="00551FE1"/>
    <w:rsid w:val="005611E6"/>
    <w:rsid w:val="00562D83"/>
    <w:rsid w:val="00564BB8"/>
    <w:rsid w:val="00564E9D"/>
    <w:rsid w:val="00564FB9"/>
    <w:rsid w:val="00567EBF"/>
    <w:rsid w:val="00567EFD"/>
    <w:rsid w:val="00570948"/>
    <w:rsid w:val="00573B2C"/>
    <w:rsid w:val="005801C5"/>
    <w:rsid w:val="00580363"/>
    <w:rsid w:val="005805ED"/>
    <w:rsid w:val="005812C5"/>
    <w:rsid w:val="00584638"/>
    <w:rsid w:val="0058592A"/>
    <w:rsid w:val="0058644B"/>
    <w:rsid w:val="00586514"/>
    <w:rsid w:val="0059775C"/>
    <w:rsid w:val="00597C0F"/>
    <w:rsid w:val="005A1BE3"/>
    <w:rsid w:val="005A1F57"/>
    <w:rsid w:val="005A6526"/>
    <w:rsid w:val="005A67D7"/>
    <w:rsid w:val="005B23C4"/>
    <w:rsid w:val="005B3199"/>
    <w:rsid w:val="005B36FC"/>
    <w:rsid w:val="005B4C4F"/>
    <w:rsid w:val="005B6971"/>
    <w:rsid w:val="005B7020"/>
    <w:rsid w:val="005C0E96"/>
    <w:rsid w:val="005C1B1C"/>
    <w:rsid w:val="005C3FB1"/>
    <w:rsid w:val="005C63ED"/>
    <w:rsid w:val="005D0711"/>
    <w:rsid w:val="005D0938"/>
    <w:rsid w:val="005D319E"/>
    <w:rsid w:val="005D469F"/>
    <w:rsid w:val="005D58AF"/>
    <w:rsid w:val="005E1528"/>
    <w:rsid w:val="005E3EDE"/>
    <w:rsid w:val="005E6FF5"/>
    <w:rsid w:val="005F2E60"/>
    <w:rsid w:val="005F588A"/>
    <w:rsid w:val="006016B0"/>
    <w:rsid w:val="006048A0"/>
    <w:rsid w:val="006052BF"/>
    <w:rsid w:val="00607449"/>
    <w:rsid w:val="006078BB"/>
    <w:rsid w:val="00607E9C"/>
    <w:rsid w:val="00611EBE"/>
    <w:rsid w:val="0061492E"/>
    <w:rsid w:val="0061513F"/>
    <w:rsid w:val="006174E2"/>
    <w:rsid w:val="006277D6"/>
    <w:rsid w:val="006344BA"/>
    <w:rsid w:val="006358C0"/>
    <w:rsid w:val="00636194"/>
    <w:rsid w:val="00636550"/>
    <w:rsid w:val="00637CD7"/>
    <w:rsid w:val="0064291A"/>
    <w:rsid w:val="0064375B"/>
    <w:rsid w:val="00644F3B"/>
    <w:rsid w:val="00647E7F"/>
    <w:rsid w:val="00653D6C"/>
    <w:rsid w:val="0065634A"/>
    <w:rsid w:val="00660F2D"/>
    <w:rsid w:val="00661125"/>
    <w:rsid w:val="00663386"/>
    <w:rsid w:val="00667454"/>
    <w:rsid w:val="00667788"/>
    <w:rsid w:val="006700C3"/>
    <w:rsid w:val="00671F81"/>
    <w:rsid w:val="00672308"/>
    <w:rsid w:val="0067278D"/>
    <w:rsid w:val="006747CA"/>
    <w:rsid w:val="00684A17"/>
    <w:rsid w:val="0068746F"/>
    <w:rsid w:val="0069009D"/>
    <w:rsid w:val="00697934"/>
    <w:rsid w:val="006A036F"/>
    <w:rsid w:val="006A11A7"/>
    <w:rsid w:val="006A7446"/>
    <w:rsid w:val="006B033C"/>
    <w:rsid w:val="006B1F86"/>
    <w:rsid w:val="006B2CCD"/>
    <w:rsid w:val="006B2CD7"/>
    <w:rsid w:val="006B2D5C"/>
    <w:rsid w:val="006B44C3"/>
    <w:rsid w:val="006B5A4A"/>
    <w:rsid w:val="006B5A6C"/>
    <w:rsid w:val="006B64E8"/>
    <w:rsid w:val="006C417D"/>
    <w:rsid w:val="006C4525"/>
    <w:rsid w:val="006C57D1"/>
    <w:rsid w:val="006C5879"/>
    <w:rsid w:val="006C5D88"/>
    <w:rsid w:val="006C7DC6"/>
    <w:rsid w:val="006D5016"/>
    <w:rsid w:val="006D78C8"/>
    <w:rsid w:val="006E2EFB"/>
    <w:rsid w:val="006E3339"/>
    <w:rsid w:val="006E3C16"/>
    <w:rsid w:val="006E5057"/>
    <w:rsid w:val="006E72DC"/>
    <w:rsid w:val="006F3303"/>
    <w:rsid w:val="006F5050"/>
    <w:rsid w:val="006F743A"/>
    <w:rsid w:val="007008ED"/>
    <w:rsid w:val="00703928"/>
    <w:rsid w:val="00705E58"/>
    <w:rsid w:val="007072E7"/>
    <w:rsid w:val="0070742C"/>
    <w:rsid w:val="0071094D"/>
    <w:rsid w:val="00710A72"/>
    <w:rsid w:val="00714BAF"/>
    <w:rsid w:val="00720308"/>
    <w:rsid w:val="00721C2B"/>
    <w:rsid w:val="00725B08"/>
    <w:rsid w:val="00726503"/>
    <w:rsid w:val="00727B3C"/>
    <w:rsid w:val="007324B1"/>
    <w:rsid w:val="0073562E"/>
    <w:rsid w:val="0073666F"/>
    <w:rsid w:val="00740212"/>
    <w:rsid w:val="007403DD"/>
    <w:rsid w:val="0074068C"/>
    <w:rsid w:val="00741621"/>
    <w:rsid w:val="00744B75"/>
    <w:rsid w:val="00746057"/>
    <w:rsid w:val="00750DB1"/>
    <w:rsid w:val="00752D10"/>
    <w:rsid w:val="007548E1"/>
    <w:rsid w:val="00762C91"/>
    <w:rsid w:val="00763FA2"/>
    <w:rsid w:val="00766655"/>
    <w:rsid w:val="00767FC0"/>
    <w:rsid w:val="007730C4"/>
    <w:rsid w:val="007730E1"/>
    <w:rsid w:val="007737DB"/>
    <w:rsid w:val="00776C97"/>
    <w:rsid w:val="007772D0"/>
    <w:rsid w:val="00777A0C"/>
    <w:rsid w:val="00783854"/>
    <w:rsid w:val="0078400B"/>
    <w:rsid w:val="007860E3"/>
    <w:rsid w:val="00786A88"/>
    <w:rsid w:val="007A562F"/>
    <w:rsid w:val="007A5649"/>
    <w:rsid w:val="007B0D73"/>
    <w:rsid w:val="007B2114"/>
    <w:rsid w:val="007B3838"/>
    <w:rsid w:val="007B3C6B"/>
    <w:rsid w:val="007B4D85"/>
    <w:rsid w:val="007C0E37"/>
    <w:rsid w:val="007C0E98"/>
    <w:rsid w:val="007C2B54"/>
    <w:rsid w:val="007C33F6"/>
    <w:rsid w:val="007C44E2"/>
    <w:rsid w:val="007D0AE2"/>
    <w:rsid w:val="007D18A5"/>
    <w:rsid w:val="007D192A"/>
    <w:rsid w:val="007E0E64"/>
    <w:rsid w:val="007E6D8C"/>
    <w:rsid w:val="007E78DC"/>
    <w:rsid w:val="007F408F"/>
    <w:rsid w:val="00800DF2"/>
    <w:rsid w:val="008034C7"/>
    <w:rsid w:val="00806AF8"/>
    <w:rsid w:val="008108EF"/>
    <w:rsid w:val="0081126B"/>
    <w:rsid w:val="00812E6A"/>
    <w:rsid w:val="00814648"/>
    <w:rsid w:val="00814751"/>
    <w:rsid w:val="00814A1C"/>
    <w:rsid w:val="00817998"/>
    <w:rsid w:val="00822C65"/>
    <w:rsid w:val="0082373C"/>
    <w:rsid w:val="008242D0"/>
    <w:rsid w:val="00826003"/>
    <w:rsid w:val="00827062"/>
    <w:rsid w:val="008270E5"/>
    <w:rsid w:val="00827BEC"/>
    <w:rsid w:val="00827D18"/>
    <w:rsid w:val="00832949"/>
    <w:rsid w:val="00835093"/>
    <w:rsid w:val="0083652D"/>
    <w:rsid w:val="0084038C"/>
    <w:rsid w:val="00840CDA"/>
    <w:rsid w:val="008418D9"/>
    <w:rsid w:val="00842AFE"/>
    <w:rsid w:val="00845BF9"/>
    <w:rsid w:val="00846F0E"/>
    <w:rsid w:val="00847C76"/>
    <w:rsid w:val="0085092A"/>
    <w:rsid w:val="00850A16"/>
    <w:rsid w:val="00851826"/>
    <w:rsid w:val="00855392"/>
    <w:rsid w:val="00861808"/>
    <w:rsid w:val="00867B2C"/>
    <w:rsid w:val="00870F81"/>
    <w:rsid w:val="00873330"/>
    <w:rsid w:val="00875231"/>
    <w:rsid w:val="00876CE4"/>
    <w:rsid w:val="00877AE1"/>
    <w:rsid w:val="0088094D"/>
    <w:rsid w:val="00882C0B"/>
    <w:rsid w:val="00883326"/>
    <w:rsid w:val="00883731"/>
    <w:rsid w:val="00883B01"/>
    <w:rsid w:val="00884A60"/>
    <w:rsid w:val="008862D1"/>
    <w:rsid w:val="008864AB"/>
    <w:rsid w:val="008878DF"/>
    <w:rsid w:val="00891B33"/>
    <w:rsid w:val="008A1C76"/>
    <w:rsid w:val="008A3181"/>
    <w:rsid w:val="008A4941"/>
    <w:rsid w:val="008A5250"/>
    <w:rsid w:val="008A53A9"/>
    <w:rsid w:val="008A71D2"/>
    <w:rsid w:val="008A7E5B"/>
    <w:rsid w:val="008B0935"/>
    <w:rsid w:val="008B41F8"/>
    <w:rsid w:val="008B51D2"/>
    <w:rsid w:val="008B7EA7"/>
    <w:rsid w:val="008C3438"/>
    <w:rsid w:val="008C427E"/>
    <w:rsid w:val="008C52F0"/>
    <w:rsid w:val="008C5D35"/>
    <w:rsid w:val="008C67F7"/>
    <w:rsid w:val="008D1771"/>
    <w:rsid w:val="008D56E1"/>
    <w:rsid w:val="008D6094"/>
    <w:rsid w:val="008E1CD2"/>
    <w:rsid w:val="008E42E7"/>
    <w:rsid w:val="008E4992"/>
    <w:rsid w:val="008F11FC"/>
    <w:rsid w:val="008F6BA8"/>
    <w:rsid w:val="008F6C62"/>
    <w:rsid w:val="0090141E"/>
    <w:rsid w:val="00902A7F"/>
    <w:rsid w:val="0091266D"/>
    <w:rsid w:val="00932BF6"/>
    <w:rsid w:val="00935782"/>
    <w:rsid w:val="00936E51"/>
    <w:rsid w:val="009378F5"/>
    <w:rsid w:val="00937AA6"/>
    <w:rsid w:val="0094047B"/>
    <w:rsid w:val="009441AB"/>
    <w:rsid w:val="00944B53"/>
    <w:rsid w:val="00945DBF"/>
    <w:rsid w:val="0095094F"/>
    <w:rsid w:val="00951CA2"/>
    <w:rsid w:val="00952A4E"/>
    <w:rsid w:val="009545F2"/>
    <w:rsid w:val="00964E83"/>
    <w:rsid w:val="00973B8D"/>
    <w:rsid w:val="009748BE"/>
    <w:rsid w:val="00977C44"/>
    <w:rsid w:val="009834ED"/>
    <w:rsid w:val="0098494E"/>
    <w:rsid w:val="00985C7B"/>
    <w:rsid w:val="00990B62"/>
    <w:rsid w:val="00995551"/>
    <w:rsid w:val="009977EA"/>
    <w:rsid w:val="009A1C14"/>
    <w:rsid w:val="009A3809"/>
    <w:rsid w:val="009A4A86"/>
    <w:rsid w:val="009B0C0A"/>
    <w:rsid w:val="009C1662"/>
    <w:rsid w:val="009C307C"/>
    <w:rsid w:val="009C38AA"/>
    <w:rsid w:val="009C5C3E"/>
    <w:rsid w:val="009D1532"/>
    <w:rsid w:val="009D6699"/>
    <w:rsid w:val="009D68E8"/>
    <w:rsid w:val="009E2D74"/>
    <w:rsid w:val="009F0C35"/>
    <w:rsid w:val="009F319F"/>
    <w:rsid w:val="00A02169"/>
    <w:rsid w:val="00A0502F"/>
    <w:rsid w:val="00A055BB"/>
    <w:rsid w:val="00A059F1"/>
    <w:rsid w:val="00A10C73"/>
    <w:rsid w:val="00A140C1"/>
    <w:rsid w:val="00A23816"/>
    <w:rsid w:val="00A24C50"/>
    <w:rsid w:val="00A259C0"/>
    <w:rsid w:val="00A27680"/>
    <w:rsid w:val="00A27C8C"/>
    <w:rsid w:val="00A30464"/>
    <w:rsid w:val="00A32C9E"/>
    <w:rsid w:val="00A32DF3"/>
    <w:rsid w:val="00A40846"/>
    <w:rsid w:val="00A41397"/>
    <w:rsid w:val="00A41C54"/>
    <w:rsid w:val="00A423E9"/>
    <w:rsid w:val="00A445EF"/>
    <w:rsid w:val="00A45410"/>
    <w:rsid w:val="00A454B6"/>
    <w:rsid w:val="00A45872"/>
    <w:rsid w:val="00A45C37"/>
    <w:rsid w:val="00A50A4A"/>
    <w:rsid w:val="00A531F2"/>
    <w:rsid w:val="00A53EB1"/>
    <w:rsid w:val="00A5511B"/>
    <w:rsid w:val="00A6013E"/>
    <w:rsid w:val="00A608A3"/>
    <w:rsid w:val="00A73A46"/>
    <w:rsid w:val="00A84B71"/>
    <w:rsid w:val="00A860B0"/>
    <w:rsid w:val="00A86154"/>
    <w:rsid w:val="00AA457C"/>
    <w:rsid w:val="00AA6DA1"/>
    <w:rsid w:val="00AA77B5"/>
    <w:rsid w:val="00AA77BA"/>
    <w:rsid w:val="00AB1071"/>
    <w:rsid w:val="00AB3F76"/>
    <w:rsid w:val="00AB4E12"/>
    <w:rsid w:val="00AC4ADD"/>
    <w:rsid w:val="00AC7EAA"/>
    <w:rsid w:val="00AD0D5A"/>
    <w:rsid w:val="00AD1423"/>
    <w:rsid w:val="00AD2BD7"/>
    <w:rsid w:val="00AD3EF9"/>
    <w:rsid w:val="00AD41A3"/>
    <w:rsid w:val="00AD4AEE"/>
    <w:rsid w:val="00AE1974"/>
    <w:rsid w:val="00AE2C3C"/>
    <w:rsid w:val="00AE57D0"/>
    <w:rsid w:val="00AF2A63"/>
    <w:rsid w:val="00AF51D6"/>
    <w:rsid w:val="00AF6742"/>
    <w:rsid w:val="00B0062A"/>
    <w:rsid w:val="00B04142"/>
    <w:rsid w:val="00B0759E"/>
    <w:rsid w:val="00B11ED1"/>
    <w:rsid w:val="00B1483A"/>
    <w:rsid w:val="00B2149E"/>
    <w:rsid w:val="00B24DE5"/>
    <w:rsid w:val="00B32644"/>
    <w:rsid w:val="00B4327F"/>
    <w:rsid w:val="00B4496C"/>
    <w:rsid w:val="00B44F24"/>
    <w:rsid w:val="00B45825"/>
    <w:rsid w:val="00B47197"/>
    <w:rsid w:val="00B5629F"/>
    <w:rsid w:val="00B62900"/>
    <w:rsid w:val="00B62950"/>
    <w:rsid w:val="00B6381D"/>
    <w:rsid w:val="00B66813"/>
    <w:rsid w:val="00B67254"/>
    <w:rsid w:val="00B705D5"/>
    <w:rsid w:val="00B72169"/>
    <w:rsid w:val="00B73F9E"/>
    <w:rsid w:val="00B74218"/>
    <w:rsid w:val="00B746DA"/>
    <w:rsid w:val="00B74FE6"/>
    <w:rsid w:val="00B77A7F"/>
    <w:rsid w:val="00B86FC7"/>
    <w:rsid w:val="00B912C3"/>
    <w:rsid w:val="00B91677"/>
    <w:rsid w:val="00B92EF9"/>
    <w:rsid w:val="00B940DE"/>
    <w:rsid w:val="00B9624F"/>
    <w:rsid w:val="00BA44D8"/>
    <w:rsid w:val="00BA500B"/>
    <w:rsid w:val="00BA7818"/>
    <w:rsid w:val="00BB052D"/>
    <w:rsid w:val="00BB19AC"/>
    <w:rsid w:val="00BB1ECD"/>
    <w:rsid w:val="00BB5A91"/>
    <w:rsid w:val="00BB5C22"/>
    <w:rsid w:val="00BB6101"/>
    <w:rsid w:val="00BC26CE"/>
    <w:rsid w:val="00BC2A97"/>
    <w:rsid w:val="00BC7A77"/>
    <w:rsid w:val="00BC7D50"/>
    <w:rsid w:val="00BD0BC4"/>
    <w:rsid w:val="00BD0FA8"/>
    <w:rsid w:val="00BD34D2"/>
    <w:rsid w:val="00BD3517"/>
    <w:rsid w:val="00BD518A"/>
    <w:rsid w:val="00BD7406"/>
    <w:rsid w:val="00BD7683"/>
    <w:rsid w:val="00BE2F54"/>
    <w:rsid w:val="00BE3F2C"/>
    <w:rsid w:val="00BE6922"/>
    <w:rsid w:val="00BF258E"/>
    <w:rsid w:val="00BF43B5"/>
    <w:rsid w:val="00BF55D5"/>
    <w:rsid w:val="00BF5B52"/>
    <w:rsid w:val="00BF6DBC"/>
    <w:rsid w:val="00BF7BEC"/>
    <w:rsid w:val="00C01F47"/>
    <w:rsid w:val="00C02AE1"/>
    <w:rsid w:val="00C03F01"/>
    <w:rsid w:val="00C11959"/>
    <w:rsid w:val="00C16E8E"/>
    <w:rsid w:val="00C178D1"/>
    <w:rsid w:val="00C25931"/>
    <w:rsid w:val="00C25B25"/>
    <w:rsid w:val="00C261EA"/>
    <w:rsid w:val="00C27B61"/>
    <w:rsid w:val="00C35A09"/>
    <w:rsid w:val="00C40213"/>
    <w:rsid w:val="00C41630"/>
    <w:rsid w:val="00C41CCF"/>
    <w:rsid w:val="00C438C9"/>
    <w:rsid w:val="00C43BC4"/>
    <w:rsid w:val="00C43D8B"/>
    <w:rsid w:val="00C444A7"/>
    <w:rsid w:val="00C44E75"/>
    <w:rsid w:val="00C47B34"/>
    <w:rsid w:val="00C47F92"/>
    <w:rsid w:val="00C50AB6"/>
    <w:rsid w:val="00C5279A"/>
    <w:rsid w:val="00C53CDC"/>
    <w:rsid w:val="00C54834"/>
    <w:rsid w:val="00C55909"/>
    <w:rsid w:val="00C64D59"/>
    <w:rsid w:val="00C660EB"/>
    <w:rsid w:val="00C711A3"/>
    <w:rsid w:val="00C726EA"/>
    <w:rsid w:val="00C74A1D"/>
    <w:rsid w:val="00C80DD9"/>
    <w:rsid w:val="00C849C3"/>
    <w:rsid w:val="00C92D92"/>
    <w:rsid w:val="00C9418B"/>
    <w:rsid w:val="00C94E12"/>
    <w:rsid w:val="00C959AD"/>
    <w:rsid w:val="00C95CAF"/>
    <w:rsid w:val="00C97C02"/>
    <w:rsid w:val="00CB15B6"/>
    <w:rsid w:val="00CB2B44"/>
    <w:rsid w:val="00CB2E9A"/>
    <w:rsid w:val="00CB4074"/>
    <w:rsid w:val="00CB4867"/>
    <w:rsid w:val="00CB4E23"/>
    <w:rsid w:val="00CB5AAE"/>
    <w:rsid w:val="00CB6889"/>
    <w:rsid w:val="00CB6E47"/>
    <w:rsid w:val="00CB7E9E"/>
    <w:rsid w:val="00CC1886"/>
    <w:rsid w:val="00CC1C1D"/>
    <w:rsid w:val="00CD102E"/>
    <w:rsid w:val="00CD1E01"/>
    <w:rsid w:val="00CD5888"/>
    <w:rsid w:val="00CE2FDC"/>
    <w:rsid w:val="00CE6297"/>
    <w:rsid w:val="00CF33AD"/>
    <w:rsid w:val="00CF50FF"/>
    <w:rsid w:val="00CF5604"/>
    <w:rsid w:val="00CF58AB"/>
    <w:rsid w:val="00CF656A"/>
    <w:rsid w:val="00D0131E"/>
    <w:rsid w:val="00D01603"/>
    <w:rsid w:val="00D0258C"/>
    <w:rsid w:val="00D0270E"/>
    <w:rsid w:val="00D02E58"/>
    <w:rsid w:val="00D03923"/>
    <w:rsid w:val="00D124C8"/>
    <w:rsid w:val="00D132DC"/>
    <w:rsid w:val="00D14DEF"/>
    <w:rsid w:val="00D167C0"/>
    <w:rsid w:val="00D20550"/>
    <w:rsid w:val="00D2174F"/>
    <w:rsid w:val="00D22D8A"/>
    <w:rsid w:val="00D2572C"/>
    <w:rsid w:val="00D27B1D"/>
    <w:rsid w:val="00D30DF0"/>
    <w:rsid w:val="00D313F4"/>
    <w:rsid w:val="00D3638C"/>
    <w:rsid w:val="00D4200D"/>
    <w:rsid w:val="00D4246B"/>
    <w:rsid w:val="00D45516"/>
    <w:rsid w:val="00D501DB"/>
    <w:rsid w:val="00D52194"/>
    <w:rsid w:val="00D535CA"/>
    <w:rsid w:val="00D53826"/>
    <w:rsid w:val="00D55C86"/>
    <w:rsid w:val="00D55EF7"/>
    <w:rsid w:val="00D56815"/>
    <w:rsid w:val="00D569D3"/>
    <w:rsid w:val="00D601A8"/>
    <w:rsid w:val="00D63132"/>
    <w:rsid w:val="00D65C24"/>
    <w:rsid w:val="00D66E2D"/>
    <w:rsid w:val="00D70817"/>
    <w:rsid w:val="00D72FE8"/>
    <w:rsid w:val="00D744EE"/>
    <w:rsid w:val="00D75AAE"/>
    <w:rsid w:val="00D77A9E"/>
    <w:rsid w:val="00D80923"/>
    <w:rsid w:val="00D82DD0"/>
    <w:rsid w:val="00D84626"/>
    <w:rsid w:val="00D85016"/>
    <w:rsid w:val="00D94F97"/>
    <w:rsid w:val="00D96945"/>
    <w:rsid w:val="00D973D0"/>
    <w:rsid w:val="00D97B95"/>
    <w:rsid w:val="00DA134A"/>
    <w:rsid w:val="00DA2A3C"/>
    <w:rsid w:val="00DA50A8"/>
    <w:rsid w:val="00DA74F6"/>
    <w:rsid w:val="00DB0852"/>
    <w:rsid w:val="00DB4182"/>
    <w:rsid w:val="00DB5AF2"/>
    <w:rsid w:val="00DC3E48"/>
    <w:rsid w:val="00DC51E8"/>
    <w:rsid w:val="00DC6514"/>
    <w:rsid w:val="00DD19C9"/>
    <w:rsid w:val="00DD39A2"/>
    <w:rsid w:val="00DD4526"/>
    <w:rsid w:val="00DD4977"/>
    <w:rsid w:val="00DD6780"/>
    <w:rsid w:val="00DD6860"/>
    <w:rsid w:val="00DE01B4"/>
    <w:rsid w:val="00DE1239"/>
    <w:rsid w:val="00DE3687"/>
    <w:rsid w:val="00DF0915"/>
    <w:rsid w:val="00DF2128"/>
    <w:rsid w:val="00DF27A8"/>
    <w:rsid w:val="00DF2E5E"/>
    <w:rsid w:val="00DF3A8C"/>
    <w:rsid w:val="00DF43EA"/>
    <w:rsid w:val="00DF44F8"/>
    <w:rsid w:val="00DF4C59"/>
    <w:rsid w:val="00E019BA"/>
    <w:rsid w:val="00E02E2B"/>
    <w:rsid w:val="00E06E32"/>
    <w:rsid w:val="00E14619"/>
    <w:rsid w:val="00E24BE3"/>
    <w:rsid w:val="00E25996"/>
    <w:rsid w:val="00E261EB"/>
    <w:rsid w:val="00E266FD"/>
    <w:rsid w:val="00E2783B"/>
    <w:rsid w:val="00E27888"/>
    <w:rsid w:val="00E316C8"/>
    <w:rsid w:val="00E32FAF"/>
    <w:rsid w:val="00E35AA3"/>
    <w:rsid w:val="00E35ED2"/>
    <w:rsid w:val="00E42BDF"/>
    <w:rsid w:val="00E430E6"/>
    <w:rsid w:val="00E4504F"/>
    <w:rsid w:val="00E45552"/>
    <w:rsid w:val="00E50356"/>
    <w:rsid w:val="00E507DE"/>
    <w:rsid w:val="00E53C3C"/>
    <w:rsid w:val="00E57209"/>
    <w:rsid w:val="00E63C1F"/>
    <w:rsid w:val="00E65BE4"/>
    <w:rsid w:val="00E6735F"/>
    <w:rsid w:val="00E7228E"/>
    <w:rsid w:val="00E7314D"/>
    <w:rsid w:val="00E824C6"/>
    <w:rsid w:val="00E82B25"/>
    <w:rsid w:val="00E864A3"/>
    <w:rsid w:val="00E869E3"/>
    <w:rsid w:val="00E879C1"/>
    <w:rsid w:val="00E92831"/>
    <w:rsid w:val="00E9313B"/>
    <w:rsid w:val="00E95394"/>
    <w:rsid w:val="00EA2857"/>
    <w:rsid w:val="00EA35FB"/>
    <w:rsid w:val="00EA3E7A"/>
    <w:rsid w:val="00EA6456"/>
    <w:rsid w:val="00EA6D06"/>
    <w:rsid w:val="00EA7333"/>
    <w:rsid w:val="00EB2EC3"/>
    <w:rsid w:val="00EB5D5A"/>
    <w:rsid w:val="00EB6A00"/>
    <w:rsid w:val="00EB6F3A"/>
    <w:rsid w:val="00EB7A63"/>
    <w:rsid w:val="00EC115A"/>
    <w:rsid w:val="00EC4A8F"/>
    <w:rsid w:val="00EC5F5A"/>
    <w:rsid w:val="00EC63D2"/>
    <w:rsid w:val="00ED19AA"/>
    <w:rsid w:val="00ED3630"/>
    <w:rsid w:val="00ED4F19"/>
    <w:rsid w:val="00EE250C"/>
    <w:rsid w:val="00EE2A91"/>
    <w:rsid w:val="00EE4A70"/>
    <w:rsid w:val="00EF0914"/>
    <w:rsid w:val="00EF2A1C"/>
    <w:rsid w:val="00EF43F1"/>
    <w:rsid w:val="00EF7FD6"/>
    <w:rsid w:val="00F01223"/>
    <w:rsid w:val="00F027CC"/>
    <w:rsid w:val="00F052B0"/>
    <w:rsid w:val="00F14E4A"/>
    <w:rsid w:val="00F15CAE"/>
    <w:rsid w:val="00F201F6"/>
    <w:rsid w:val="00F204D8"/>
    <w:rsid w:val="00F21808"/>
    <w:rsid w:val="00F24CEC"/>
    <w:rsid w:val="00F2784E"/>
    <w:rsid w:val="00F30C27"/>
    <w:rsid w:val="00F4264F"/>
    <w:rsid w:val="00F51570"/>
    <w:rsid w:val="00F5422F"/>
    <w:rsid w:val="00F56677"/>
    <w:rsid w:val="00F56C3E"/>
    <w:rsid w:val="00F56EBD"/>
    <w:rsid w:val="00F57E2D"/>
    <w:rsid w:val="00F63769"/>
    <w:rsid w:val="00F66BA9"/>
    <w:rsid w:val="00F677A9"/>
    <w:rsid w:val="00F677CA"/>
    <w:rsid w:val="00F74EA2"/>
    <w:rsid w:val="00F81CE3"/>
    <w:rsid w:val="00F83342"/>
    <w:rsid w:val="00F91337"/>
    <w:rsid w:val="00F92ECD"/>
    <w:rsid w:val="00F944F9"/>
    <w:rsid w:val="00FA0692"/>
    <w:rsid w:val="00FA40A0"/>
    <w:rsid w:val="00FA781D"/>
    <w:rsid w:val="00FB1A66"/>
    <w:rsid w:val="00FB4F55"/>
    <w:rsid w:val="00FC2FF8"/>
    <w:rsid w:val="00FC4141"/>
    <w:rsid w:val="00FC6995"/>
    <w:rsid w:val="00FC7923"/>
    <w:rsid w:val="00FC7E87"/>
    <w:rsid w:val="00FD06E3"/>
    <w:rsid w:val="00FD1D2D"/>
    <w:rsid w:val="00FD36F4"/>
    <w:rsid w:val="00FE369C"/>
    <w:rsid w:val="00FE6E70"/>
    <w:rsid w:val="00FE7294"/>
    <w:rsid w:val="00FF162E"/>
    <w:rsid w:val="00FF3A8A"/>
    <w:rsid w:val="00FF677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A25A24E"/>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8C"/>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1B0D64"/>
    <w:pPr>
      <w:keepNext/>
      <w:keepLines/>
      <w:numPr>
        <w:ilvl w:val="1"/>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unhideWhenUsed/>
    <w:qFormat/>
    <w:rsid w:val="00E24BE3"/>
    <w:pPr>
      <w:keepNext/>
      <w:keepLines/>
      <w:numPr>
        <w:ilvl w:val="2"/>
        <w:numId w:val="4"/>
      </w:numPr>
      <w:spacing w:before="360"/>
      <w:ind w:left="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unhideWhenUsed/>
    <w:rsid w:val="00F30C27"/>
    <w:pPr>
      <w:spacing w:line="240" w:lineRule="auto"/>
    </w:pPr>
    <w:rPr>
      <w:sz w:val="20"/>
      <w:szCs w:val="20"/>
    </w:rPr>
  </w:style>
  <w:style w:type="character" w:customStyle="1" w:styleId="FotnotetekstTegn">
    <w:name w:val="Fotnotetekst Tegn"/>
    <w:basedOn w:val="Standardskriftforavsnitt"/>
    <w:link w:val="Fotnotetekst"/>
    <w:uiPriority w:val="99"/>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foravsnitt"/>
    <w:link w:val="Overskrift2"/>
    <w:uiPriority w:val="9"/>
    <w:rsid w:val="00544D9F"/>
    <w:rPr>
      <w:rFonts w:ascii="Arial" w:eastAsiaTheme="majorEastAsia" w:hAnsi="Arial" w:cstheme="majorBidi"/>
      <w:b/>
      <w:sz w:val="24"/>
      <w:szCs w:val="26"/>
    </w:rPr>
  </w:style>
  <w:style w:type="paragraph" w:styleId="Tittel">
    <w:name w:val="Title"/>
    <w:basedOn w:val="Normal"/>
    <w:next w:val="Normal"/>
    <w:link w:val="Tit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customStyle="1" w:styleId="Ulstomtale1">
    <w:name w:val="Uløst omtale1"/>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customStyle="1" w:styleId="Overskrift1Tegn">
    <w:name w:val="Overskrift 1 Tegn"/>
    <w:basedOn w:val="Standardskriftforavsnit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foravsnitt"/>
    <w:link w:val="Overskrift3"/>
    <w:uiPriority w:val="9"/>
    <w:rsid w:val="001B0D64"/>
    <w:rPr>
      <w:rFonts w:ascii="Arial" w:eastAsiaTheme="majorEastAsia" w:hAnsi="Arial" w:cstheme="majorBidi"/>
      <w:i/>
      <w:sz w:val="24"/>
      <w:szCs w:val="24"/>
      <w:lang w:val="en-GB"/>
    </w:rPr>
  </w:style>
  <w:style w:type="character" w:customStyle="1" w:styleId="Overskrift4Tegn">
    <w:name w:val="Overskrift 4 Tegn"/>
    <w:basedOn w:val="Standardskriftforavsnitt"/>
    <w:link w:val="Overskrift4"/>
    <w:uiPriority w:val="9"/>
    <w:rsid w:val="00E24BE3"/>
    <w:rPr>
      <w:rFonts w:ascii="Arial" w:eastAsiaTheme="majorEastAsia" w:hAnsi="Arial" w:cstheme="majorBidi"/>
      <w:i/>
      <w:iCs/>
      <w:sz w:val="24"/>
      <w:szCs w:val="24"/>
      <w:lang w:val="en-GB"/>
    </w:rPr>
  </w:style>
  <w:style w:type="character" w:customStyle="1" w:styleId="Overskrift5Tegn">
    <w:name w:val="Overskrift 5 Tegn"/>
    <w:basedOn w:val="Standardskriftforavsnitt"/>
    <w:link w:val="Overskrift5"/>
    <w:uiPriority w:val="9"/>
    <w:semiHidden/>
    <w:rsid w:val="002B3DF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2B3DF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2B3DF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foravsnitt"/>
    <w:link w:val="Abstrakti"/>
    <w:rsid w:val="002A6A14"/>
    <w:rPr>
      <w:rFonts w:ascii="Arial" w:hAnsi="Arial" w:cs="Arial"/>
      <w:i/>
      <w:sz w:val="20"/>
      <w:szCs w:val="20"/>
      <w:lang w:val="en-GB"/>
    </w:rPr>
  </w:style>
  <w:style w:type="character" w:customStyle="1" w:styleId="KirjoittajaChar">
    <w:name w:val="Kirjoittaja Char"/>
    <w:basedOn w:val="Standardskriftforavsnitt"/>
    <w:link w:val="Kirjoittaja"/>
    <w:rsid w:val="002A6A14"/>
    <w:rPr>
      <w:rFonts w:ascii="Arial" w:hAnsi="Arial" w:cs="Arial"/>
      <w:sz w:val="24"/>
      <w:szCs w:val="24"/>
      <w:lang w:val="en-US"/>
    </w:rPr>
  </w:style>
  <w:style w:type="paragraph" w:styleId="NormalWeb">
    <w:name w:val="Normal (Web)"/>
    <w:basedOn w:val="Normal"/>
    <w:uiPriority w:val="99"/>
    <w:semiHidden/>
    <w:unhideWhenUsed/>
    <w:rsid w:val="00562D83"/>
    <w:pPr>
      <w:spacing w:before="100" w:beforeAutospacing="1" w:after="100" w:afterAutospacing="1" w:line="240" w:lineRule="auto"/>
      <w:jc w:val="left"/>
    </w:pPr>
    <w:rPr>
      <w:rFonts w:ascii="Times New Roman" w:eastAsia="Times New Roman" w:hAnsi="Times New Roman" w:cs="Times New Roman"/>
      <w:lang w:val="nb-NO" w:eastAsia="nb-NO"/>
    </w:rPr>
  </w:style>
  <w:style w:type="paragraph" w:styleId="Revisjon">
    <w:name w:val="Revision"/>
    <w:hidden/>
    <w:uiPriority w:val="99"/>
    <w:semiHidden/>
    <w:rsid w:val="002A5B56"/>
    <w:pPr>
      <w:spacing w:after="0" w:line="240" w:lineRule="auto"/>
    </w:pPr>
    <w:rPr>
      <w:rFonts w:ascii="Arial" w:hAnsi="Arial" w:cs="Arial"/>
      <w:sz w:val="24"/>
      <w:szCs w:val="24"/>
      <w:lang w:val="en-GB"/>
    </w:rPr>
  </w:style>
  <w:style w:type="paragraph" w:customStyle="1" w:styleId="Stil1">
    <w:name w:val="Stil1"/>
    <w:basedOn w:val="Overskrift3"/>
    <w:next w:val="Normal"/>
    <w:link w:val="Stil1Tegn"/>
    <w:qFormat/>
    <w:rsid w:val="00B4327F"/>
    <w:pPr>
      <w:numPr>
        <w:ilvl w:val="0"/>
        <w:numId w:val="0"/>
      </w:numPr>
    </w:pPr>
    <w:rPr>
      <w:i w:val="0"/>
      <w:lang w:val="en-US"/>
    </w:rPr>
  </w:style>
  <w:style w:type="character" w:customStyle="1" w:styleId="Stil1Tegn">
    <w:name w:val="Stil1 Tegn"/>
    <w:basedOn w:val="Standardskriftforavsnitt"/>
    <w:link w:val="Stil1"/>
    <w:rsid w:val="00B4327F"/>
    <w:rPr>
      <w:rFonts w:ascii="Arial" w:eastAsiaTheme="majorEastAsia" w:hAnsi="Arial" w:cstheme="majorBidi"/>
      <w:sz w:val="24"/>
      <w:szCs w:val="24"/>
      <w:lang w:val="en-US"/>
    </w:rPr>
  </w:style>
  <w:style w:type="character" w:styleId="Fulgthyperkobling">
    <w:name w:val="FollowedHyperlink"/>
    <w:basedOn w:val="Standardskriftforavsnitt"/>
    <w:uiPriority w:val="99"/>
    <w:semiHidden/>
    <w:unhideWhenUsed/>
    <w:rsid w:val="002A3E0F"/>
    <w:rPr>
      <w:color w:val="954F72" w:themeColor="followedHyperlink"/>
      <w:u w:val="single"/>
    </w:rPr>
  </w:style>
  <w:style w:type="character" w:styleId="Ulstomtale">
    <w:name w:val="Unresolved Mention"/>
    <w:basedOn w:val="Standardskriftforavsnitt"/>
    <w:uiPriority w:val="99"/>
    <w:semiHidden/>
    <w:unhideWhenUsed/>
    <w:rsid w:val="00EC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0796">
      <w:bodyDiv w:val="1"/>
      <w:marLeft w:val="0"/>
      <w:marRight w:val="0"/>
      <w:marTop w:val="0"/>
      <w:marBottom w:val="0"/>
      <w:divBdr>
        <w:top w:val="none" w:sz="0" w:space="0" w:color="auto"/>
        <w:left w:val="none" w:sz="0" w:space="0" w:color="auto"/>
        <w:bottom w:val="none" w:sz="0" w:space="0" w:color="auto"/>
        <w:right w:val="none" w:sz="0" w:space="0" w:color="auto"/>
      </w:divBdr>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335576302">
      <w:bodyDiv w:val="1"/>
      <w:marLeft w:val="0"/>
      <w:marRight w:val="0"/>
      <w:marTop w:val="0"/>
      <w:marBottom w:val="0"/>
      <w:divBdr>
        <w:top w:val="none" w:sz="0" w:space="0" w:color="auto"/>
        <w:left w:val="none" w:sz="0" w:space="0" w:color="auto"/>
        <w:bottom w:val="none" w:sz="0" w:space="0" w:color="auto"/>
        <w:right w:val="none" w:sz="0" w:space="0" w:color="auto"/>
      </w:divBdr>
      <w:divsChild>
        <w:div w:id="128204111">
          <w:marLeft w:val="360"/>
          <w:marRight w:val="0"/>
          <w:marTop w:val="0"/>
          <w:marBottom w:val="180"/>
          <w:divBdr>
            <w:top w:val="none" w:sz="0" w:space="0" w:color="auto"/>
            <w:left w:val="none" w:sz="0" w:space="0" w:color="auto"/>
            <w:bottom w:val="none" w:sz="0" w:space="0" w:color="auto"/>
            <w:right w:val="none" w:sz="0" w:space="0" w:color="auto"/>
          </w:divBdr>
        </w:div>
      </w:divsChild>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636683589">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63869916">
      <w:bodyDiv w:val="1"/>
      <w:marLeft w:val="0"/>
      <w:marRight w:val="0"/>
      <w:marTop w:val="0"/>
      <w:marBottom w:val="0"/>
      <w:divBdr>
        <w:top w:val="none" w:sz="0" w:space="0" w:color="auto"/>
        <w:left w:val="none" w:sz="0" w:space="0" w:color="auto"/>
        <w:bottom w:val="none" w:sz="0" w:space="0" w:color="auto"/>
        <w:right w:val="none" w:sz="0" w:space="0" w:color="auto"/>
      </w:divBdr>
    </w:div>
    <w:div w:id="1512453321">
      <w:bodyDiv w:val="1"/>
      <w:marLeft w:val="0"/>
      <w:marRight w:val="0"/>
      <w:marTop w:val="0"/>
      <w:marBottom w:val="0"/>
      <w:divBdr>
        <w:top w:val="none" w:sz="0" w:space="0" w:color="auto"/>
        <w:left w:val="none" w:sz="0" w:space="0" w:color="auto"/>
        <w:bottom w:val="none" w:sz="0" w:space="0" w:color="auto"/>
        <w:right w:val="none" w:sz="0" w:space="0" w:color="auto"/>
      </w:divBdr>
    </w:div>
    <w:div w:id="191931691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t.grini@ssb.no" TargetMode="External"/><Relationship Id="rId13" Type="http://schemas.openxmlformats.org/officeDocument/2006/relationships/hyperlink" Target="https://github.com/dmlc/xgboo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chinelearningmastery.com/gentle-introduction-xgboost-applied-machine-learn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xgboost.readthedocs.io/en/latest/" TargetMode="Externa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tine.bakke@ssb.no" TargetMode="External"/><Relationship Id="rId14" Type="http://schemas.openxmlformats.org/officeDocument/2006/relationships/hyperlink" Target="http://datascience.la/benchmarking-random-forest-implemen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w-file01.ssb.no\ssb\Organisasjon\A300\S312\Tverrfaglig\Internasjonalt\Nordisk\NSM2019_helsinki\figurer_til_artikke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aw-file01.ssb.no\ssb\Organisasjon\A300\S312\Tverrfaglig\Internasjonalt\Nordisk\NSM2019_helsinki\figurer_til_artikk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938398750210647E-2"/>
          <c:y val="2.0797227036395149E-2"/>
          <c:w val="0.88921028505821975"/>
          <c:h val="0.80387614459804313"/>
        </c:manualLayout>
      </c:layout>
      <c:scatterChart>
        <c:scatterStyle val="lineMarker"/>
        <c:varyColors val="0"/>
        <c:ser>
          <c:idx val="0"/>
          <c:order val="0"/>
          <c:tx>
            <c:v>Predicted values</c:v>
          </c:tx>
          <c:spPr>
            <a:ln w="28575" cap="rnd">
              <a:noFill/>
              <a:round/>
            </a:ln>
            <a:effectLst/>
          </c:spPr>
          <c:marker>
            <c:symbol val="circle"/>
            <c:size val="8"/>
            <c:spPr>
              <a:noFill/>
              <a:ln w="34925">
                <a:solidFill>
                  <a:schemeClr val="accent1"/>
                </a:solidFill>
              </a:ln>
              <a:effectLst/>
            </c:spPr>
          </c:marker>
          <c:xVal>
            <c:numRef>
              <c:f>'training faulty'!$B$2:$B$13</c:f>
              <c:numCache>
                <c:formatCode>_-* #,##0.0_-;\-* #,##0.0_-;_-* "-"??_-;_-@_-</c:formatCode>
                <c:ptCount val="12"/>
                <c:pt idx="0">
                  <c:v>0.62</c:v>
                </c:pt>
                <c:pt idx="1">
                  <c:v>0.51</c:v>
                </c:pt>
                <c:pt idx="2">
                  <c:v>0.41</c:v>
                </c:pt>
                <c:pt idx="3">
                  <c:v>0.44</c:v>
                </c:pt>
                <c:pt idx="4">
                  <c:v>0.48</c:v>
                </c:pt>
                <c:pt idx="5">
                  <c:v>0.49</c:v>
                </c:pt>
                <c:pt idx="6">
                  <c:v>0.44</c:v>
                </c:pt>
                <c:pt idx="7">
                  <c:v>0.37</c:v>
                </c:pt>
                <c:pt idx="8">
                  <c:v>0.28000000000000003</c:v>
                </c:pt>
                <c:pt idx="9">
                  <c:v>0.24</c:v>
                </c:pt>
                <c:pt idx="10">
                  <c:v>1</c:v>
                </c:pt>
                <c:pt idx="11">
                  <c:v>1</c:v>
                </c:pt>
              </c:numCache>
            </c:numRef>
          </c:xVal>
          <c:yVal>
            <c:numRef>
              <c:f>'training faulty'!$A$2:$A$13</c:f>
              <c:numCache>
                <c:formatCode>_-* #,##0_-;\-* #,##0_-;_-* "-"??_-;_-@_-</c:formatCode>
                <c:ptCount val="12"/>
                <c:pt idx="0">
                  <c:v>32258.06451612903</c:v>
                </c:pt>
                <c:pt idx="1">
                  <c:v>35100</c:v>
                </c:pt>
                <c:pt idx="2">
                  <c:v>37609.756097560974</c:v>
                </c:pt>
                <c:pt idx="3">
                  <c:v>34090.909090909096</c:v>
                </c:pt>
                <c:pt idx="4">
                  <c:v>28235.333333333336</c:v>
                </c:pt>
                <c:pt idx="5">
                  <c:v>20408.163265306124</c:v>
                </c:pt>
                <c:pt idx="6">
                  <c:v>31339.431818181823</c:v>
                </c:pt>
                <c:pt idx="7">
                  <c:v>35059.45945945946</c:v>
                </c:pt>
                <c:pt idx="8">
                  <c:v>37289.285714285717</c:v>
                </c:pt>
                <c:pt idx="9">
                  <c:v>20833.333333333336</c:v>
                </c:pt>
                <c:pt idx="10">
                  <c:v>109784</c:v>
                </c:pt>
                <c:pt idx="11">
                  <c:v>109784</c:v>
                </c:pt>
              </c:numCache>
            </c:numRef>
          </c:yVal>
          <c:smooth val="0"/>
          <c:extLst>
            <c:ext xmlns:c16="http://schemas.microsoft.com/office/drawing/2014/chart" uri="{C3380CC4-5D6E-409C-BE32-E72D297353CC}">
              <c16:uniqueId val="{00000000-E4CD-4B01-A747-1B492C4FBDF0}"/>
            </c:ext>
          </c:extLst>
        </c:ser>
        <c:ser>
          <c:idx val="1"/>
          <c:order val="1"/>
          <c:tx>
            <c:v>Reported values</c:v>
          </c:tx>
          <c:spPr>
            <a:ln w="25400" cap="rnd">
              <a:noFill/>
              <a:round/>
            </a:ln>
            <a:effectLst/>
          </c:spPr>
          <c:marker>
            <c:symbol val="plus"/>
            <c:size val="8"/>
            <c:spPr>
              <a:solidFill>
                <a:schemeClr val="accent2"/>
              </a:solidFill>
              <a:ln w="31750">
                <a:solidFill>
                  <a:schemeClr val="accent2"/>
                </a:solidFill>
              </a:ln>
              <a:effectLst/>
            </c:spPr>
          </c:marker>
          <c:xVal>
            <c:numRef>
              <c:f>'training faulty'!$B$14:$B$61</c:f>
              <c:numCache>
                <c:formatCode>_-* #,##0.0_-;\-* #,##0.0_-;_-* "-"??_-;_-@_-</c:formatCode>
                <c:ptCount val="48"/>
                <c:pt idx="0">
                  <c:v>1</c:v>
                </c:pt>
                <c:pt idx="1">
                  <c:v>0.2</c:v>
                </c:pt>
                <c:pt idx="2">
                  <c:v>0.2</c:v>
                </c:pt>
                <c:pt idx="3">
                  <c:v>0.9</c:v>
                </c:pt>
                <c:pt idx="4">
                  <c:v>0.4</c:v>
                </c:pt>
                <c:pt idx="5">
                  <c:v>1</c:v>
                </c:pt>
                <c:pt idx="6">
                  <c:v>0.375</c:v>
                </c:pt>
                <c:pt idx="7">
                  <c:v>0.5</c:v>
                </c:pt>
                <c:pt idx="8">
                  <c:v>1.2</c:v>
                </c:pt>
                <c:pt idx="9">
                  <c:v>1.1499999999999999</c:v>
                </c:pt>
                <c:pt idx="10">
                  <c:v>1.0789333333333333</c:v>
                </c:pt>
                <c:pt idx="11">
                  <c:v>1.0134666666666667</c:v>
                </c:pt>
                <c:pt idx="12">
                  <c:v>1</c:v>
                </c:pt>
                <c:pt idx="13">
                  <c:v>0.79</c:v>
                </c:pt>
                <c:pt idx="14">
                  <c:v>0.77329999999999999</c:v>
                </c:pt>
                <c:pt idx="15">
                  <c:v>0.66670000000000007</c:v>
                </c:pt>
                <c:pt idx="16">
                  <c:v>0.66670000000000007</c:v>
                </c:pt>
                <c:pt idx="17">
                  <c:v>0.66659999999999997</c:v>
                </c:pt>
                <c:pt idx="18">
                  <c:v>0.66</c:v>
                </c:pt>
                <c:pt idx="19">
                  <c:v>0.56340000000000001</c:v>
                </c:pt>
                <c:pt idx="20">
                  <c:v>0.5</c:v>
                </c:pt>
                <c:pt idx="21">
                  <c:v>0.48</c:v>
                </c:pt>
                <c:pt idx="22">
                  <c:v>0.47766666666666668</c:v>
                </c:pt>
                <c:pt idx="23">
                  <c:v>0.46666666666666662</c:v>
                </c:pt>
                <c:pt idx="24">
                  <c:v>0.42666666666666669</c:v>
                </c:pt>
                <c:pt idx="25">
                  <c:v>0.42219999999999996</c:v>
                </c:pt>
                <c:pt idx="26">
                  <c:v>0.42100000000000004</c:v>
                </c:pt>
                <c:pt idx="27">
                  <c:v>0.41313333333333335</c:v>
                </c:pt>
                <c:pt idx="28">
                  <c:v>0.4</c:v>
                </c:pt>
                <c:pt idx="29">
                  <c:v>0.4</c:v>
                </c:pt>
                <c:pt idx="30">
                  <c:v>0.4</c:v>
                </c:pt>
                <c:pt idx="31">
                  <c:v>0.4</c:v>
                </c:pt>
                <c:pt idx="32">
                  <c:v>0.4</c:v>
                </c:pt>
                <c:pt idx="33">
                  <c:v>0.5</c:v>
                </c:pt>
                <c:pt idx="34">
                  <c:v>0.6</c:v>
                </c:pt>
                <c:pt idx="35">
                  <c:v>0.2</c:v>
                </c:pt>
                <c:pt idx="36">
                  <c:v>0.17330000000000001</c:v>
                </c:pt>
                <c:pt idx="37">
                  <c:v>1.05</c:v>
                </c:pt>
                <c:pt idx="38">
                  <c:v>1.0134666666666667</c:v>
                </c:pt>
                <c:pt idx="39">
                  <c:v>1</c:v>
                </c:pt>
                <c:pt idx="40">
                  <c:v>1</c:v>
                </c:pt>
                <c:pt idx="41">
                  <c:v>1</c:v>
                </c:pt>
                <c:pt idx="42">
                  <c:v>1</c:v>
                </c:pt>
                <c:pt idx="43">
                  <c:v>1</c:v>
                </c:pt>
                <c:pt idx="44">
                  <c:v>1</c:v>
                </c:pt>
                <c:pt idx="45">
                  <c:v>1</c:v>
                </c:pt>
                <c:pt idx="46">
                  <c:v>1</c:v>
                </c:pt>
                <c:pt idx="47">
                  <c:v>1</c:v>
                </c:pt>
              </c:numCache>
            </c:numRef>
          </c:xVal>
          <c:yVal>
            <c:numRef>
              <c:f>'[1]med dårlige data'!$A$15:$A$61</c:f>
              <c:numCache>
                <c:formatCode>General</c:formatCode>
                <c:ptCount val="47"/>
                <c:pt idx="0">
                  <c:v>100000</c:v>
                </c:pt>
                <c:pt idx="1">
                  <c:v>59365.544874999992</c:v>
                </c:pt>
                <c:pt idx="2">
                  <c:v>16124.444444444445</c:v>
                </c:pt>
                <c:pt idx="3">
                  <c:v>18048.251874999998</c:v>
                </c:pt>
                <c:pt idx="4">
                  <c:v>95833.33</c:v>
                </c:pt>
                <c:pt idx="5">
                  <c:v>104204.27893333335</c:v>
                </c:pt>
                <c:pt idx="6">
                  <c:v>100000</c:v>
                </c:pt>
                <c:pt idx="7">
                  <c:v>37238</c:v>
                </c:pt>
                <c:pt idx="8">
                  <c:v>33936.375</c:v>
                </c:pt>
                <c:pt idx="9">
                  <c:v>32475</c:v>
                </c:pt>
                <c:pt idx="10">
                  <c:v>32474.999999999996</c:v>
                </c:pt>
                <c:pt idx="11">
                  <c:v>38000</c:v>
                </c:pt>
                <c:pt idx="12">
                  <c:v>41713.246835443046</c:v>
                </c:pt>
                <c:pt idx="13">
                  <c:v>32592.784171731542</c:v>
                </c:pt>
                <c:pt idx="14">
                  <c:v>47593.386268186587</c:v>
                </c:pt>
                <c:pt idx="15">
                  <c:v>46320.835833208337</c:v>
                </c:pt>
                <c:pt idx="16">
                  <c:v>42594.410066006603</c:v>
                </c:pt>
                <c:pt idx="17">
                  <c:v>32743.984848484852</c:v>
                </c:pt>
                <c:pt idx="18">
                  <c:v>47006.323216187426</c:v>
                </c:pt>
                <c:pt idx="19">
                  <c:v>22200</c:v>
                </c:pt>
                <c:pt idx="20">
                  <c:v>33936.375000000007</c:v>
                </c:pt>
                <c:pt idx="21">
                  <c:v>19322.625000000004</c:v>
                </c:pt>
                <c:pt idx="22">
                  <c:v>27603.75</c:v>
                </c:pt>
                <c:pt idx="23">
                  <c:v>22732.5</c:v>
                </c:pt>
                <c:pt idx="24">
                  <c:v>32475</c:v>
                </c:pt>
                <c:pt idx="25">
                  <c:v>19322.624999999996</c:v>
                </c:pt>
                <c:pt idx="26">
                  <c:v>19322.625</c:v>
                </c:pt>
                <c:pt idx="27">
                  <c:v>76803.375</c:v>
                </c:pt>
                <c:pt idx="28">
                  <c:v>62500</c:v>
                </c:pt>
                <c:pt idx="29">
                  <c:v>39335.34375</c:v>
                </c:pt>
                <c:pt idx="30">
                  <c:v>38231.193750000006</c:v>
                </c:pt>
                <c:pt idx="31">
                  <c:v>35912.5</c:v>
                </c:pt>
                <c:pt idx="32">
                  <c:v>12998.768249999999</c:v>
                </c:pt>
                <c:pt idx="33">
                  <c:v>11086.748500000002</c:v>
                </c:pt>
                <c:pt idx="34">
                  <c:v>62189.625000000007</c:v>
                </c:pt>
                <c:pt idx="35">
                  <c:v>24360.934795152913</c:v>
                </c:pt>
                <c:pt idx="36">
                  <c:v>34261.125</c:v>
                </c:pt>
                <c:pt idx="37">
                  <c:v>32474.999999999996</c:v>
                </c:pt>
                <c:pt idx="38">
                  <c:v>93634</c:v>
                </c:pt>
                <c:pt idx="39">
                  <c:v>91340</c:v>
                </c:pt>
                <c:pt idx="40">
                  <c:v>90000</c:v>
                </c:pt>
                <c:pt idx="41">
                  <c:v>88439</c:v>
                </c:pt>
                <c:pt idx="42">
                  <c:v>87018</c:v>
                </c:pt>
                <c:pt idx="43">
                  <c:v>84184.5</c:v>
                </c:pt>
                <c:pt idx="44">
                  <c:v>82473</c:v>
                </c:pt>
                <c:pt idx="45">
                  <c:v>81770</c:v>
                </c:pt>
                <c:pt idx="46">
                  <c:v>81612</c:v>
                </c:pt>
              </c:numCache>
            </c:numRef>
          </c:yVal>
          <c:smooth val="0"/>
          <c:extLst>
            <c:ext xmlns:c16="http://schemas.microsoft.com/office/drawing/2014/chart" uri="{C3380CC4-5D6E-409C-BE32-E72D297353CC}">
              <c16:uniqueId val="{00000001-E4CD-4B01-A747-1B492C4FBDF0}"/>
            </c:ext>
          </c:extLst>
        </c:ser>
        <c:dLbls>
          <c:showLegendKey val="0"/>
          <c:showVal val="0"/>
          <c:showCatName val="0"/>
          <c:showSerName val="0"/>
          <c:showPercent val="0"/>
          <c:showBubbleSize val="0"/>
        </c:dLbls>
        <c:axId val="476234856"/>
        <c:axId val="476235184"/>
      </c:scatterChart>
      <c:valAx>
        <c:axId val="476234856"/>
        <c:scaling>
          <c:orientation val="minMax"/>
          <c:max val="1.2"/>
          <c:min val="0.1"/>
        </c:scaling>
        <c:delete val="0"/>
        <c:axPos val="b"/>
        <c:numFmt formatCode="_-* #,##0.0_-;\-* #,##0.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76235184"/>
        <c:crosses val="autoZero"/>
        <c:crossBetween val="midCat"/>
      </c:valAx>
      <c:valAx>
        <c:axId val="476235184"/>
        <c:scaling>
          <c:orientation val="minMax"/>
          <c:max val="115000"/>
          <c:min val="5000"/>
        </c:scaling>
        <c:delete val="0"/>
        <c:axPos val="l"/>
        <c:numFmt formatCode="_-* #,##0_-;\-* #,##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762348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2000" b="1"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Predicted values</c:v>
          </c:tx>
          <c:spPr>
            <a:ln w="28575" cap="rnd">
              <a:noFill/>
              <a:round/>
            </a:ln>
            <a:effectLst/>
          </c:spPr>
          <c:marker>
            <c:symbol val="circle"/>
            <c:size val="8"/>
            <c:spPr>
              <a:noFill/>
              <a:ln w="34925">
                <a:solidFill>
                  <a:schemeClr val="accent1"/>
                </a:solidFill>
              </a:ln>
              <a:effectLst/>
            </c:spPr>
          </c:marker>
          <c:xVal>
            <c:numRef>
              <c:f>'training improved'!$B$2:$B$19</c:f>
              <c:numCache>
                <c:formatCode>_-* #,##0.0_-;\-* #,##0.0_-;_-* "-"??_-;_-@_-</c:formatCode>
                <c:ptCount val="18"/>
                <c:pt idx="0">
                  <c:v>0.77</c:v>
                </c:pt>
                <c:pt idx="1">
                  <c:v>0.66</c:v>
                </c:pt>
                <c:pt idx="2">
                  <c:v>0.56999999999999995</c:v>
                </c:pt>
                <c:pt idx="3">
                  <c:v>0.56000000000000005</c:v>
                </c:pt>
                <c:pt idx="4">
                  <c:v>0.5</c:v>
                </c:pt>
                <c:pt idx="5">
                  <c:v>0.5</c:v>
                </c:pt>
                <c:pt idx="6">
                  <c:v>0.48</c:v>
                </c:pt>
                <c:pt idx="7">
                  <c:v>0.48</c:v>
                </c:pt>
                <c:pt idx="8">
                  <c:v>0.46</c:v>
                </c:pt>
                <c:pt idx="9">
                  <c:v>0.43</c:v>
                </c:pt>
                <c:pt idx="10">
                  <c:v>0.43</c:v>
                </c:pt>
                <c:pt idx="11">
                  <c:v>0.42</c:v>
                </c:pt>
                <c:pt idx="12">
                  <c:v>0.28000000000000003</c:v>
                </c:pt>
                <c:pt idx="13">
                  <c:v>0.21</c:v>
                </c:pt>
                <c:pt idx="14">
                  <c:v>0.21</c:v>
                </c:pt>
                <c:pt idx="15">
                  <c:v>1</c:v>
                </c:pt>
                <c:pt idx="16">
                  <c:v>0.99</c:v>
                </c:pt>
                <c:pt idx="17">
                  <c:v>0.99</c:v>
                </c:pt>
              </c:numCache>
            </c:numRef>
          </c:xVal>
          <c:yVal>
            <c:numRef>
              <c:f>'training improved'!$A$2:$A$19</c:f>
              <c:numCache>
                <c:formatCode>_-* #,##0_-;\-* #,##0_-;_-* "-"??_-;_-@_-</c:formatCode>
                <c:ptCount val="18"/>
                <c:pt idx="0">
                  <c:v>34372.889610389611</c:v>
                </c:pt>
                <c:pt idx="1">
                  <c:v>30303.0303030303</c:v>
                </c:pt>
                <c:pt idx="2">
                  <c:v>35087.719298245618</c:v>
                </c:pt>
                <c:pt idx="3">
                  <c:v>31966.071428571428</c:v>
                </c:pt>
                <c:pt idx="4">
                  <c:v>23826.041499999999</c:v>
                </c:pt>
                <c:pt idx="5">
                  <c:v>30839.999999999996</c:v>
                </c:pt>
                <c:pt idx="6">
                  <c:v>31250</c:v>
                </c:pt>
                <c:pt idx="7">
                  <c:v>28235.333333333336</c:v>
                </c:pt>
                <c:pt idx="8">
                  <c:v>21739.130434782608</c:v>
                </c:pt>
                <c:pt idx="9">
                  <c:v>32068.255813953489</c:v>
                </c:pt>
                <c:pt idx="10">
                  <c:v>33748.837209302328</c:v>
                </c:pt>
                <c:pt idx="11">
                  <c:v>33433.785714285717</c:v>
                </c:pt>
                <c:pt idx="12">
                  <c:v>37289.285714285717</c:v>
                </c:pt>
                <c:pt idx="13">
                  <c:v>23809.523809523809</c:v>
                </c:pt>
                <c:pt idx="14">
                  <c:v>34337.157738095237</c:v>
                </c:pt>
                <c:pt idx="15">
                  <c:v>95833.33</c:v>
                </c:pt>
                <c:pt idx="16">
                  <c:v>39465.653787878793</c:v>
                </c:pt>
                <c:pt idx="17">
                  <c:v>50505.050505050502</c:v>
                </c:pt>
              </c:numCache>
            </c:numRef>
          </c:yVal>
          <c:smooth val="0"/>
          <c:extLst>
            <c:ext xmlns:c16="http://schemas.microsoft.com/office/drawing/2014/chart" uri="{C3380CC4-5D6E-409C-BE32-E72D297353CC}">
              <c16:uniqueId val="{00000000-389B-4C9F-AECD-510DBA0424D2}"/>
            </c:ext>
          </c:extLst>
        </c:ser>
        <c:ser>
          <c:idx val="1"/>
          <c:order val="1"/>
          <c:tx>
            <c:v>Reported values</c:v>
          </c:tx>
          <c:spPr>
            <a:ln w="25400" cap="rnd">
              <a:noFill/>
              <a:round/>
            </a:ln>
            <a:effectLst/>
          </c:spPr>
          <c:marker>
            <c:symbol val="x"/>
            <c:size val="8"/>
            <c:spPr>
              <a:solidFill>
                <a:schemeClr val="accent2"/>
              </a:solidFill>
              <a:ln w="31750">
                <a:solidFill>
                  <a:schemeClr val="accent2"/>
                </a:solidFill>
              </a:ln>
              <a:effectLst/>
            </c:spPr>
          </c:marker>
          <c:xVal>
            <c:numRef>
              <c:f>'training improved'!$B$20:$B$61</c:f>
              <c:numCache>
                <c:formatCode>_-* #,##0.0_-;\-* #,##0.0_-;_-* "-"??_-;_-@_-</c:formatCode>
                <c:ptCount val="42"/>
                <c:pt idx="0">
                  <c:v>1.2</c:v>
                </c:pt>
                <c:pt idx="1">
                  <c:v>1.1499999999999999</c:v>
                </c:pt>
                <c:pt idx="2">
                  <c:v>1.0789333333333333</c:v>
                </c:pt>
                <c:pt idx="3">
                  <c:v>1.0134666666666667</c:v>
                </c:pt>
                <c:pt idx="4">
                  <c:v>1</c:v>
                </c:pt>
                <c:pt idx="5">
                  <c:v>1</c:v>
                </c:pt>
                <c:pt idx="6">
                  <c:v>0.79</c:v>
                </c:pt>
                <c:pt idx="7">
                  <c:v>0.77329999999999999</c:v>
                </c:pt>
                <c:pt idx="8">
                  <c:v>0.66670000000000007</c:v>
                </c:pt>
                <c:pt idx="9">
                  <c:v>0.66670000000000007</c:v>
                </c:pt>
                <c:pt idx="10">
                  <c:v>0.66659999999999997</c:v>
                </c:pt>
                <c:pt idx="11">
                  <c:v>0.66</c:v>
                </c:pt>
                <c:pt idx="12">
                  <c:v>0.56340000000000001</c:v>
                </c:pt>
                <c:pt idx="13">
                  <c:v>0.5</c:v>
                </c:pt>
                <c:pt idx="14">
                  <c:v>0.48</c:v>
                </c:pt>
                <c:pt idx="15">
                  <c:v>0.47766666666666668</c:v>
                </c:pt>
                <c:pt idx="16">
                  <c:v>0.46666666666666662</c:v>
                </c:pt>
                <c:pt idx="17">
                  <c:v>0.42666666666666669</c:v>
                </c:pt>
                <c:pt idx="18">
                  <c:v>0.42219999999999996</c:v>
                </c:pt>
                <c:pt idx="19">
                  <c:v>0.42100000000000004</c:v>
                </c:pt>
                <c:pt idx="20">
                  <c:v>0.41313333333333335</c:v>
                </c:pt>
                <c:pt idx="21">
                  <c:v>0.4</c:v>
                </c:pt>
                <c:pt idx="22">
                  <c:v>0.4</c:v>
                </c:pt>
                <c:pt idx="23">
                  <c:v>0.4</c:v>
                </c:pt>
                <c:pt idx="24">
                  <c:v>0.4</c:v>
                </c:pt>
                <c:pt idx="25">
                  <c:v>0.4</c:v>
                </c:pt>
                <c:pt idx="26">
                  <c:v>0.20526666666666663</c:v>
                </c:pt>
                <c:pt idx="27">
                  <c:v>0.20486666666666667</c:v>
                </c:pt>
                <c:pt idx="28">
                  <c:v>0.2</c:v>
                </c:pt>
                <c:pt idx="29">
                  <c:v>0.17330000000000001</c:v>
                </c:pt>
                <c:pt idx="30">
                  <c:v>1.05</c:v>
                </c:pt>
                <c:pt idx="31">
                  <c:v>1.0134666666666667</c:v>
                </c:pt>
                <c:pt idx="32">
                  <c:v>1</c:v>
                </c:pt>
                <c:pt idx="33">
                  <c:v>1</c:v>
                </c:pt>
                <c:pt idx="34">
                  <c:v>1</c:v>
                </c:pt>
                <c:pt idx="35">
                  <c:v>1</c:v>
                </c:pt>
                <c:pt idx="36">
                  <c:v>1</c:v>
                </c:pt>
                <c:pt idx="37">
                  <c:v>1</c:v>
                </c:pt>
                <c:pt idx="38">
                  <c:v>1</c:v>
                </c:pt>
                <c:pt idx="39">
                  <c:v>1</c:v>
                </c:pt>
                <c:pt idx="40">
                  <c:v>1</c:v>
                </c:pt>
                <c:pt idx="41">
                  <c:v>1</c:v>
                </c:pt>
              </c:numCache>
            </c:numRef>
          </c:xVal>
          <c:yVal>
            <c:numRef>
              <c:f>'training improved'!$A$20:$A$61</c:f>
              <c:numCache>
                <c:formatCode>_-* #,##0_-;\-* #,##0_-;_-* "-"??_-;_-@_-</c:formatCode>
                <c:ptCount val="42"/>
                <c:pt idx="0">
                  <c:v>38741.096354166672</c:v>
                </c:pt>
                <c:pt idx="1">
                  <c:v>33931.499043478259</c:v>
                </c:pt>
                <c:pt idx="2">
                  <c:v>32470.123934132476</c:v>
                </c:pt>
                <c:pt idx="3">
                  <c:v>32470.129390869624</c:v>
                </c:pt>
                <c:pt idx="4">
                  <c:v>54882.75</c:v>
                </c:pt>
                <c:pt idx="5">
                  <c:v>38000</c:v>
                </c:pt>
                <c:pt idx="6">
                  <c:v>41706.998481012655</c:v>
                </c:pt>
                <c:pt idx="7">
                  <c:v>32592.784171731539</c:v>
                </c:pt>
                <c:pt idx="8">
                  <c:v>47586.55062246888</c:v>
                </c:pt>
                <c:pt idx="9">
                  <c:v>46314.195027748618</c:v>
                </c:pt>
                <c:pt idx="10">
                  <c:v>42588.304155415542</c:v>
                </c:pt>
                <c:pt idx="11">
                  <c:v>32739.080795454549</c:v>
                </c:pt>
                <c:pt idx="12">
                  <c:v>47006.323216187426</c:v>
                </c:pt>
                <c:pt idx="13">
                  <c:v>22200</c:v>
                </c:pt>
                <c:pt idx="14">
                  <c:v>34012.691250000003</c:v>
                </c:pt>
                <c:pt idx="15">
                  <c:v>19387.575000000001</c:v>
                </c:pt>
                <c:pt idx="16">
                  <c:v>27603.750000000004</c:v>
                </c:pt>
                <c:pt idx="17">
                  <c:v>22732.5</c:v>
                </c:pt>
                <c:pt idx="18">
                  <c:v>32470.128493604927</c:v>
                </c:pt>
                <c:pt idx="19">
                  <c:v>19387.575000000001</c:v>
                </c:pt>
                <c:pt idx="20">
                  <c:v>19387.580240438925</c:v>
                </c:pt>
                <c:pt idx="21">
                  <c:v>76803.375</c:v>
                </c:pt>
                <c:pt idx="22">
                  <c:v>62500</c:v>
                </c:pt>
                <c:pt idx="23">
                  <c:v>39335.343750000007</c:v>
                </c:pt>
                <c:pt idx="24">
                  <c:v>37792.78125</c:v>
                </c:pt>
                <c:pt idx="25">
                  <c:v>35912.5</c:v>
                </c:pt>
                <c:pt idx="26">
                  <c:v>31590.0325186749</c:v>
                </c:pt>
                <c:pt idx="27">
                  <c:v>32470.13878945656</c:v>
                </c:pt>
                <c:pt idx="28">
                  <c:v>62189.625</c:v>
                </c:pt>
                <c:pt idx="29">
                  <c:v>24357.311886901327</c:v>
                </c:pt>
                <c:pt idx="30">
                  <c:v>34214.041404761905</c:v>
                </c:pt>
                <c:pt idx="31">
                  <c:v>32470.129390869624</c:v>
                </c:pt>
                <c:pt idx="32">
                  <c:v>54882.75</c:v>
                </c:pt>
                <c:pt idx="33">
                  <c:v>93634</c:v>
                </c:pt>
                <c:pt idx="34">
                  <c:v>91340</c:v>
                </c:pt>
                <c:pt idx="35">
                  <c:v>90000</c:v>
                </c:pt>
                <c:pt idx="36">
                  <c:v>79726.125</c:v>
                </c:pt>
                <c:pt idx="37">
                  <c:v>87018</c:v>
                </c:pt>
                <c:pt idx="38">
                  <c:v>90280.5</c:v>
                </c:pt>
                <c:pt idx="39">
                  <c:v>82473</c:v>
                </c:pt>
                <c:pt idx="40">
                  <c:v>81770</c:v>
                </c:pt>
                <c:pt idx="41">
                  <c:v>81611.5</c:v>
                </c:pt>
              </c:numCache>
            </c:numRef>
          </c:yVal>
          <c:smooth val="0"/>
          <c:extLst>
            <c:ext xmlns:c16="http://schemas.microsoft.com/office/drawing/2014/chart" uri="{C3380CC4-5D6E-409C-BE32-E72D297353CC}">
              <c16:uniqueId val="{00000001-389B-4C9F-AECD-510DBA0424D2}"/>
            </c:ext>
          </c:extLst>
        </c:ser>
        <c:dLbls>
          <c:showLegendKey val="0"/>
          <c:showVal val="0"/>
          <c:showCatName val="0"/>
          <c:showSerName val="0"/>
          <c:showPercent val="0"/>
          <c:showBubbleSize val="0"/>
        </c:dLbls>
        <c:axId val="476234856"/>
        <c:axId val="476235184"/>
      </c:scatterChart>
      <c:valAx>
        <c:axId val="476234856"/>
        <c:scaling>
          <c:orientation val="minMax"/>
          <c:max val="1.2"/>
          <c:min val="0.1"/>
        </c:scaling>
        <c:delete val="0"/>
        <c:axPos val="b"/>
        <c:numFmt formatCode="_-* #,##0.0_-;\-* #,##0.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76235184"/>
        <c:crosses val="autoZero"/>
        <c:crossBetween val="midCat"/>
      </c:valAx>
      <c:valAx>
        <c:axId val="476235184"/>
        <c:scaling>
          <c:orientation val="minMax"/>
          <c:max val="115000"/>
          <c:min val="5000"/>
        </c:scaling>
        <c:delete val="0"/>
        <c:axPos val="l"/>
        <c:numFmt formatCode="_-* #,##0_-;\-* #,##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762348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2000" b="1"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986C-0A06-46C7-9D04-B6F4D993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4975</Words>
  <Characters>26371</Characters>
  <Application>Microsoft Office Word</Application>
  <DocSecurity>0</DocSecurity>
  <Lines>219</Lines>
  <Paragraphs>62</Paragraphs>
  <ScaleCrop>false</ScaleCrop>
  <HeadingPairs>
    <vt:vector size="8" baseType="variant">
      <vt:variant>
        <vt:lpstr>Tittel</vt:lpstr>
      </vt:variant>
      <vt:variant>
        <vt:i4>1</vt:i4>
      </vt:variant>
      <vt:variant>
        <vt:lpstr>Title</vt:lpstr>
      </vt:variant>
      <vt:variant>
        <vt:i4>1</vt:i4>
      </vt:variant>
      <vt:variant>
        <vt:lpstr>Otsikko</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Bakke, Stine</cp:lastModifiedBy>
  <cp:revision>193</cp:revision>
  <cp:lastPrinted>2018-02-22T12:09:00Z</cp:lastPrinted>
  <dcterms:created xsi:type="dcterms:W3CDTF">2019-06-26T12:47:00Z</dcterms:created>
  <dcterms:modified xsi:type="dcterms:W3CDTF">2019-06-28T08:43:00Z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