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931C" w14:textId="77777777" w:rsidR="00DF43EA" w:rsidRPr="00353DCE" w:rsidRDefault="004D6574" w:rsidP="002A6A14">
      <w:pPr>
        <w:pStyle w:val="Overskrift1"/>
      </w:pPr>
      <w:r w:rsidRPr="00353DCE">
        <w:rPr>
          <w:szCs w:val="48"/>
        </w:rPr>
        <w:t xml:space="preserve">Establishing </w:t>
      </w:r>
      <w:r w:rsidR="00353DCE">
        <w:rPr>
          <w:szCs w:val="48"/>
        </w:rPr>
        <w:t>Harmonise</w:t>
      </w:r>
      <w:r w:rsidRPr="00353DCE">
        <w:rPr>
          <w:szCs w:val="48"/>
        </w:rPr>
        <w:t xml:space="preserve">d Business Statistics Databases in the Nordic NSIs </w:t>
      </w:r>
      <w:r w:rsidR="00DF43EA" w:rsidRPr="00353DCE">
        <w:t xml:space="preserve">– </w:t>
      </w:r>
      <w:r w:rsidRPr="00353DCE">
        <w:rPr>
          <w:szCs w:val="48"/>
        </w:rPr>
        <w:t>challenges and achievements</w:t>
      </w:r>
    </w:p>
    <w:p w14:paraId="56B071E3" w14:textId="77777777" w:rsidR="004D6574" w:rsidRPr="00353DCE" w:rsidRDefault="004D6574" w:rsidP="004D6574">
      <w:pPr>
        <w:rPr>
          <w:i/>
        </w:rPr>
      </w:pPr>
      <w:r w:rsidRPr="00353DCE">
        <w:rPr>
          <w:i/>
        </w:rPr>
        <w:t>Peter Bøegh Nielsen, Statistics Denmark (corresponding author</w:t>
      </w:r>
      <w:r w:rsidR="00D00224" w:rsidRPr="00353DCE">
        <w:rPr>
          <w:i/>
        </w:rPr>
        <w:t xml:space="preserve">), </w:t>
      </w:r>
      <w:r w:rsidRPr="00353DCE">
        <w:rPr>
          <w:rStyle w:val="Hyperlink"/>
        </w:rPr>
        <w:t>pbn@dst.dk</w:t>
      </w:r>
    </w:p>
    <w:p w14:paraId="4A0DEDB4" w14:textId="77777777" w:rsidR="004D6574" w:rsidRPr="00353DCE" w:rsidRDefault="004D6574" w:rsidP="004D6574">
      <w:pPr>
        <w:rPr>
          <w:rStyle w:val="Hyperlink"/>
        </w:rPr>
      </w:pPr>
      <w:r w:rsidRPr="00353DCE">
        <w:rPr>
          <w:i/>
        </w:rPr>
        <w:t>Andreas Poldahl, Statistics Sweden</w:t>
      </w:r>
      <w:r w:rsidR="000D705A" w:rsidRPr="00353DCE">
        <w:t xml:space="preserve">, </w:t>
      </w:r>
      <w:hyperlink r:id="rId8" w:history="1">
        <w:r w:rsidR="00D00224" w:rsidRPr="00353DCE">
          <w:rPr>
            <w:rStyle w:val="Hyperlink"/>
          </w:rPr>
          <w:t>Andreas.Poldahl@scb.se</w:t>
        </w:r>
      </w:hyperlink>
    </w:p>
    <w:p w14:paraId="1364DCDF" w14:textId="77777777" w:rsidR="0014172A" w:rsidRPr="00283E9A" w:rsidRDefault="004D6574" w:rsidP="004D6574">
      <w:pPr>
        <w:rPr>
          <w:i/>
          <w:lang w:val="da-DK"/>
        </w:rPr>
      </w:pPr>
      <w:r w:rsidRPr="00283E9A">
        <w:rPr>
          <w:i/>
          <w:lang w:val="da-DK"/>
        </w:rPr>
        <w:t xml:space="preserve">Henri Luomaranta, Statistics Finland, </w:t>
      </w:r>
      <w:hyperlink r:id="rId9" w:history="1">
        <w:r w:rsidR="0014172A" w:rsidRPr="00283E9A">
          <w:rPr>
            <w:rStyle w:val="Hyperlink"/>
            <w:i/>
            <w:lang w:val="da-DK"/>
          </w:rPr>
          <w:t>henri.luomaranta@stat.fi</w:t>
        </w:r>
      </w:hyperlink>
    </w:p>
    <w:p w14:paraId="1F7A1F9F" w14:textId="77777777" w:rsidR="004D6574" w:rsidRPr="00283E9A" w:rsidRDefault="004D6574" w:rsidP="004D6574">
      <w:pPr>
        <w:rPr>
          <w:i/>
          <w:lang w:val="da-DK"/>
        </w:rPr>
      </w:pPr>
      <w:r w:rsidRPr="00283E9A">
        <w:rPr>
          <w:i/>
          <w:lang w:val="da-DK"/>
        </w:rPr>
        <w:t>Jelle va</w:t>
      </w:r>
      <w:r w:rsidR="0014172A" w:rsidRPr="00283E9A">
        <w:rPr>
          <w:i/>
          <w:lang w:val="da-DK"/>
        </w:rPr>
        <w:t xml:space="preserve">n der Kamp, Statistics Denmark </w:t>
      </w:r>
      <w:hyperlink r:id="rId10" w:history="1">
        <w:r w:rsidRPr="00283E9A">
          <w:rPr>
            <w:rStyle w:val="Hyperlink"/>
            <w:lang w:val="da-DK"/>
          </w:rPr>
          <w:t>jlk@dst.dk</w:t>
        </w:r>
      </w:hyperlink>
    </w:p>
    <w:p w14:paraId="2B1BCA9D" w14:textId="77777777" w:rsidR="004D6574" w:rsidRPr="00283E9A" w:rsidRDefault="004D6574" w:rsidP="004D6574">
      <w:pPr>
        <w:rPr>
          <w:i/>
          <w:lang w:val="da-DK"/>
        </w:rPr>
      </w:pPr>
      <w:r w:rsidRPr="00283E9A">
        <w:rPr>
          <w:i/>
          <w:lang w:val="da-DK"/>
        </w:rPr>
        <w:t>Kalle Emil Holst</w:t>
      </w:r>
      <w:r w:rsidR="00353DCE" w:rsidRPr="00283E9A">
        <w:rPr>
          <w:i/>
          <w:lang w:val="da-DK"/>
        </w:rPr>
        <w:t xml:space="preserve"> Hansen</w:t>
      </w:r>
      <w:r w:rsidR="0014172A" w:rsidRPr="00283E9A">
        <w:rPr>
          <w:i/>
          <w:lang w:val="da-DK"/>
        </w:rPr>
        <w:t xml:space="preserve">, Statistics Denmark </w:t>
      </w:r>
      <w:r w:rsidRPr="00283E9A">
        <w:rPr>
          <w:rStyle w:val="Hyperlink"/>
          <w:lang w:val="da-DK"/>
        </w:rPr>
        <w:t>khs@dst.dk</w:t>
      </w:r>
    </w:p>
    <w:p w14:paraId="6438B72F" w14:textId="77777777" w:rsidR="000D705A" w:rsidRPr="00353DCE" w:rsidRDefault="000D705A" w:rsidP="002A6A14">
      <w:pPr>
        <w:pStyle w:val="Abstrakti"/>
        <w:rPr>
          <w:b/>
          <w:i w:val="0"/>
          <w:sz w:val="24"/>
          <w:szCs w:val="24"/>
        </w:rPr>
      </w:pPr>
      <w:r w:rsidRPr="00353DCE">
        <w:rPr>
          <w:b/>
          <w:i w:val="0"/>
        </w:rPr>
        <w:t>Abstract</w:t>
      </w:r>
    </w:p>
    <w:p w14:paraId="6ED87138" w14:textId="64298FFE" w:rsidR="000C07C8" w:rsidRPr="00BC7A4B" w:rsidRDefault="000C07C8" w:rsidP="000C07C8">
      <w:pPr>
        <w:spacing w:line="240" w:lineRule="auto"/>
        <w:rPr>
          <w:i/>
          <w:sz w:val="20"/>
          <w:szCs w:val="20"/>
        </w:rPr>
      </w:pPr>
      <w:r w:rsidRPr="003A4BCD">
        <w:rPr>
          <w:i/>
          <w:sz w:val="20"/>
          <w:szCs w:val="20"/>
        </w:rPr>
        <w:t>Business statistics is characteri</w:t>
      </w:r>
      <w:r w:rsidR="003A036A">
        <w:rPr>
          <w:i/>
          <w:sz w:val="20"/>
          <w:szCs w:val="20"/>
        </w:rPr>
        <w:t>s</w:t>
      </w:r>
      <w:r w:rsidRPr="003A4BCD">
        <w:rPr>
          <w:i/>
          <w:sz w:val="20"/>
          <w:szCs w:val="20"/>
        </w:rPr>
        <w:t>ed by being produced in a stovepipe system; each statistical doma</w:t>
      </w:r>
      <w:r w:rsidR="00B766D5">
        <w:rPr>
          <w:i/>
          <w:sz w:val="20"/>
          <w:szCs w:val="20"/>
        </w:rPr>
        <w:t xml:space="preserve">in in isolation fulfilling </w:t>
      </w:r>
      <w:r w:rsidRPr="003A4BCD">
        <w:rPr>
          <w:i/>
          <w:sz w:val="20"/>
          <w:szCs w:val="20"/>
        </w:rPr>
        <w:t>specific requirements. The requirements are very often based on different EU regulations, e.g. on short term statistics or st</w:t>
      </w:r>
      <w:r w:rsidRPr="00BC7A4B">
        <w:rPr>
          <w:i/>
          <w:sz w:val="20"/>
          <w:szCs w:val="20"/>
        </w:rPr>
        <w:t xml:space="preserve">ructural business statistics. But user needs often require </w:t>
      </w:r>
      <w:r w:rsidR="00B766D5">
        <w:rPr>
          <w:i/>
          <w:sz w:val="20"/>
          <w:szCs w:val="20"/>
        </w:rPr>
        <w:t xml:space="preserve">the combination of information from different statistical registers to </w:t>
      </w:r>
      <w:r w:rsidRPr="00BC7A4B">
        <w:rPr>
          <w:i/>
          <w:sz w:val="20"/>
          <w:szCs w:val="20"/>
        </w:rPr>
        <w:t>address</w:t>
      </w:r>
      <w:r w:rsidR="00B766D5">
        <w:rPr>
          <w:i/>
          <w:sz w:val="20"/>
          <w:szCs w:val="20"/>
        </w:rPr>
        <w:t xml:space="preserve"> specific </w:t>
      </w:r>
      <w:r w:rsidRPr="00BC7A4B">
        <w:rPr>
          <w:i/>
          <w:sz w:val="20"/>
          <w:szCs w:val="20"/>
        </w:rPr>
        <w:t xml:space="preserve">issues </w:t>
      </w:r>
      <w:r w:rsidR="00B766D5">
        <w:rPr>
          <w:i/>
          <w:sz w:val="20"/>
          <w:szCs w:val="20"/>
        </w:rPr>
        <w:t>often being of cross-cutting nature</w:t>
      </w:r>
      <w:r w:rsidRPr="00BC7A4B">
        <w:rPr>
          <w:i/>
          <w:sz w:val="20"/>
          <w:szCs w:val="20"/>
        </w:rPr>
        <w:t>, especially when analy</w:t>
      </w:r>
      <w:r w:rsidR="00353DCE">
        <w:rPr>
          <w:i/>
          <w:sz w:val="20"/>
          <w:szCs w:val="20"/>
        </w:rPr>
        <w:t>s</w:t>
      </w:r>
      <w:r w:rsidRPr="00353DCE">
        <w:rPr>
          <w:i/>
          <w:sz w:val="20"/>
          <w:szCs w:val="20"/>
        </w:rPr>
        <w:t xml:space="preserve">ing factors driving economic growth and the performance of enterprises. These requirements have put an increased focus on the need </w:t>
      </w:r>
      <w:r w:rsidRPr="003A4BCD">
        <w:rPr>
          <w:i/>
          <w:sz w:val="20"/>
          <w:szCs w:val="20"/>
        </w:rPr>
        <w:t>for partly more disaggregated data than the statistics traditionally published by National Statistical Institutes (NSIs) and partly for existing data combined in new ways.</w:t>
      </w:r>
    </w:p>
    <w:p w14:paraId="007C67CF" w14:textId="77777777" w:rsidR="000C07C8" w:rsidRPr="00353DCE" w:rsidRDefault="000C07C8" w:rsidP="000C07C8">
      <w:pPr>
        <w:spacing w:line="240" w:lineRule="auto"/>
        <w:rPr>
          <w:i/>
          <w:sz w:val="20"/>
          <w:szCs w:val="20"/>
        </w:rPr>
      </w:pPr>
      <w:r w:rsidRPr="00353DCE">
        <w:rPr>
          <w:i/>
          <w:sz w:val="20"/>
          <w:szCs w:val="20"/>
        </w:rPr>
        <w:t>For these purposes, the business statistics departments in the Nordic NSIs</w:t>
      </w:r>
      <w:r w:rsidR="00353DCE">
        <w:rPr>
          <w:i/>
          <w:sz w:val="20"/>
          <w:szCs w:val="20"/>
        </w:rPr>
        <w:t xml:space="preserve"> (Denmark, Finland,</w:t>
      </w:r>
      <w:r w:rsidR="00353DCE" w:rsidRPr="00353DCE">
        <w:rPr>
          <w:i/>
          <w:sz w:val="20"/>
          <w:szCs w:val="20"/>
        </w:rPr>
        <w:t xml:space="preserve"> </w:t>
      </w:r>
      <w:r w:rsidR="00353DCE">
        <w:rPr>
          <w:i/>
          <w:sz w:val="20"/>
          <w:szCs w:val="20"/>
        </w:rPr>
        <w:t>Island Norway and Sweden)</w:t>
      </w:r>
      <w:r w:rsidRPr="00353DCE">
        <w:rPr>
          <w:i/>
          <w:sz w:val="20"/>
          <w:szCs w:val="20"/>
        </w:rPr>
        <w:t xml:space="preserve"> have established </w:t>
      </w:r>
      <w:r w:rsidR="00353DCE">
        <w:rPr>
          <w:i/>
          <w:sz w:val="20"/>
          <w:szCs w:val="20"/>
        </w:rPr>
        <w:t>harmonise</w:t>
      </w:r>
      <w:r w:rsidRPr="00353DCE">
        <w:rPr>
          <w:i/>
          <w:sz w:val="20"/>
          <w:szCs w:val="20"/>
        </w:rPr>
        <w:t>d databases holding a selection of harmonised and identical variables from different statistical registers at enterprise level. The underlying idea is that by matching information from different registers at micro level (enterprise), new information can be obtained without having to launch new surveys adding extra burden on the responding enterprises.</w:t>
      </w:r>
    </w:p>
    <w:p w14:paraId="3FA72A6B" w14:textId="77777777" w:rsidR="00061786" w:rsidRDefault="000C07C8" w:rsidP="000C07C8">
      <w:pPr>
        <w:spacing w:line="240" w:lineRule="auto"/>
        <w:rPr>
          <w:i/>
          <w:sz w:val="20"/>
          <w:szCs w:val="20"/>
        </w:rPr>
      </w:pPr>
      <w:r w:rsidRPr="00581AAC">
        <w:rPr>
          <w:i/>
          <w:sz w:val="20"/>
          <w:szCs w:val="20"/>
        </w:rPr>
        <w:t>The databases are used for carrying out distributed micro</w:t>
      </w:r>
      <w:r w:rsidR="00581AAC">
        <w:rPr>
          <w:i/>
          <w:sz w:val="20"/>
          <w:szCs w:val="20"/>
        </w:rPr>
        <w:t>-</w:t>
      </w:r>
      <w:r w:rsidRPr="00581AAC">
        <w:rPr>
          <w:i/>
          <w:sz w:val="20"/>
          <w:szCs w:val="20"/>
        </w:rPr>
        <w:t xml:space="preserve">data linking for analytical purposes by means of centrally </w:t>
      </w:r>
      <w:r w:rsidR="00061786">
        <w:rPr>
          <w:i/>
          <w:sz w:val="20"/>
          <w:szCs w:val="20"/>
        </w:rPr>
        <w:t xml:space="preserve">scripted </w:t>
      </w:r>
      <w:r w:rsidRPr="00581AAC">
        <w:rPr>
          <w:i/>
          <w:sz w:val="20"/>
          <w:szCs w:val="20"/>
        </w:rPr>
        <w:t xml:space="preserve">syntax, run locally by each NSI. This approach allows for the design of </w:t>
      </w:r>
      <w:r w:rsidR="00353DCE">
        <w:rPr>
          <w:i/>
          <w:sz w:val="20"/>
          <w:szCs w:val="20"/>
        </w:rPr>
        <w:t>harmonise</w:t>
      </w:r>
      <w:r w:rsidRPr="00353DCE">
        <w:rPr>
          <w:i/>
          <w:sz w:val="20"/>
          <w:szCs w:val="20"/>
        </w:rPr>
        <w:t>d, tailor-made statistical output across the Nordic countries for comparative analysis, without micro</w:t>
      </w:r>
      <w:r w:rsidR="00C46B57">
        <w:rPr>
          <w:i/>
          <w:sz w:val="20"/>
          <w:szCs w:val="20"/>
        </w:rPr>
        <w:t>-</w:t>
      </w:r>
      <w:r w:rsidRPr="00353DCE">
        <w:rPr>
          <w:i/>
          <w:sz w:val="20"/>
          <w:szCs w:val="20"/>
        </w:rPr>
        <w:t xml:space="preserve">data leaving the NSIs. The trusted partnership and the </w:t>
      </w:r>
      <w:r w:rsidR="00353DCE">
        <w:rPr>
          <w:i/>
          <w:sz w:val="20"/>
          <w:szCs w:val="20"/>
        </w:rPr>
        <w:t>harmonise</w:t>
      </w:r>
      <w:r w:rsidRPr="00353DCE">
        <w:rPr>
          <w:i/>
          <w:sz w:val="20"/>
          <w:szCs w:val="20"/>
        </w:rPr>
        <w:t xml:space="preserve">d databases have gradually been established over the </w:t>
      </w:r>
      <w:r w:rsidR="00581AAC">
        <w:rPr>
          <w:i/>
          <w:sz w:val="20"/>
          <w:szCs w:val="20"/>
        </w:rPr>
        <w:t>past</w:t>
      </w:r>
      <w:r w:rsidRPr="00353DCE">
        <w:rPr>
          <w:i/>
          <w:sz w:val="20"/>
          <w:szCs w:val="20"/>
        </w:rPr>
        <w:t xml:space="preserve"> nine years through varies projects and face-to-face meetings. </w:t>
      </w:r>
    </w:p>
    <w:p w14:paraId="0B1329E3" w14:textId="77777777" w:rsidR="000C07C8" w:rsidRPr="003A4BCD" w:rsidRDefault="000C07C8" w:rsidP="000C07C8">
      <w:pPr>
        <w:spacing w:line="240" w:lineRule="auto"/>
        <w:rPr>
          <w:i/>
          <w:sz w:val="20"/>
          <w:szCs w:val="20"/>
        </w:rPr>
      </w:pPr>
      <w:r w:rsidRPr="00353DCE">
        <w:rPr>
          <w:i/>
          <w:sz w:val="20"/>
          <w:szCs w:val="20"/>
        </w:rPr>
        <w:t xml:space="preserve">The databases contain data from a number of statistical registers, for instance Structural Business Statistics, Business Demography or International Trade in </w:t>
      </w:r>
      <w:r w:rsidRPr="00581AAC">
        <w:rPr>
          <w:i/>
          <w:sz w:val="20"/>
          <w:szCs w:val="20"/>
        </w:rPr>
        <w:t xml:space="preserve">Goods and Services statistics. By establishing </w:t>
      </w:r>
      <w:r w:rsidR="00353DCE">
        <w:rPr>
          <w:i/>
          <w:sz w:val="20"/>
          <w:szCs w:val="20"/>
        </w:rPr>
        <w:t>harmonise</w:t>
      </w:r>
      <w:r w:rsidRPr="00353DCE">
        <w:rPr>
          <w:i/>
          <w:sz w:val="20"/>
          <w:szCs w:val="20"/>
        </w:rPr>
        <w:t xml:space="preserve">d national databases, it has been possible for the Nordic NSIs, in a cost-efficient way to produce a number of analyses for external users such as the Nordic Council of Ministers </w:t>
      </w:r>
      <w:r w:rsidR="00061786">
        <w:rPr>
          <w:i/>
          <w:sz w:val="20"/>
          <w:szCs w:val="20"/>
        </w:rPr>
        <w:t>and</w:t>
      </w:r>
      <w:r w:rsidRPr="00353DCE">
        <w:rPr>
          <w:i/>
          <w:sz w:val="20"/>
          <w:szCs w:val="20"/>
        </w:rPr>
        <w:t xml:space="preserve"> </w:t>
      </w:r>
      <w:r w:rsidR="00BA4F78">
        <w:rPr>
          <w:i/>
          <w:sz w:val="20"/>
          <w:szCs w:val="20"/>
        </w:rPr>
        <w:t>OECD</w:t>
      </w:r>
      <w:r w:rsidRPr="00353DCE">
        <w:rPr>
          <w:i/>
          <w:sz w:val="20"/>
          <w:szCs w:val="20"/>
        </w:rPr>
        <w:t xml:space="preserve"> </w:t>
      </w:r>
      <w:r w:rsidRPr="003A4BCD">
        <w:rPr>
          <w:i/>
          <w:sz w:val="20"/>
          <w:szCs w:val="20"/>
        </w:rPr>
        <w:t>addressing issues on the political agenda.</w:t>
      </w:r>
    </w:p>
    <w:p w14:paraId="793A8E54" w14:textId="77777777" w:rsidR="00B601BE" w:rsidRPr="00353DCE" w:rsidRDefault="000C07C8" w:rsidP="000C07C8">
      <w:pPr>
        <w:pStyle w:val="Abstrakti"/>
      </w:pPr>
      <w:r w:rsidRPr="003A4BCD">
        <w:t xml:space="preserve">This paper presents the organisation and implementation of </w:t>
      </w:r>
      <w:r w:rsidR="00353DCE">
        <w:t>harmonise</w:t>
      </w:r>
      <w:r w:rsidRPr="00353DCE">
        <w:t>d databases within each Nordic NSI</w:t>
      </w:r>
      <w:r w:rsidR="00061786">
        <w:t>;</w:t>
      </w:r>
      <w:r w:rsidRPr="00353DCE">
        <w:t xml:space="preserve"> the design and production of </w:t>
      </w:r>
      <w:r w:rsidR="00353DCE">
        <w:t>harmonise</w:t>
      </w:r>
      <w:r w:rsidRPr="00353DCE">
        <w:t>d syntax</w:t>
      </w:r>
      <w:r w:rsidR="00061786">
        <w:t>;</w:t>
      </w:r>
      <w:r w:rsidRPr="00353DCE">
        <w:t xml:space="preserve"> examples of the output achieved</w:t>
      </w:r>
      <w:r w:rsidR="00061786">
        <w:t>;</w:t>
      </w:r>
      <w:r w:rsidRPr="00353DCE">
        <w:t xml:space="preserve"> and future potential of Nordic co-operation.</w:t>
      </w:r>
    </w:p>
    <w:p w14:paraId="56731471" w14:textId="77777777" w:rsidR="00DB4182" w:rsidRPr="003A4BCD" w:rsidRDefault="00C726EA" w:rsidP="002A6A14">
      <w:pPr>
        <w:pStyle w:val="Abstrakti"/>
      </w:pPr>
      <w:r w:rsidRPr="00581AAC">
        <w:rPr>
          <w:b/>
        </w:rPr>
        <w:t>Keywords</w:t>
      </w:r>
      <w:r w:rsidRPr="00581AAC">
        <w:t xml:space="preserve">: </w:t>
      </w:r>
      <w:r w:rsidR="000C07C8" w:rsidRPr="00581AAC">
        <w:t>Business statistics,</w:t>
      </w:r>
      <w:r w:rsidR="000C07C8" w:rsidRPr="00581AAC">
        <w:rPr>
          <w:b/>
        </w:rPr>
        <w:t xml:space="preserve"> </w:t>
      </w:r>
      <w:r w:rsidR="000C07C8" w:rsidRPr="00581AAC">
        <w:t xml:space="preserve">internationally harmonised databases, </w:t>
      </w:r>
      <w:r w:rsidR="00581AAC">
        <w:t>micro-</w:t>
      </w:r>
      <w:r w:rsidR="000C07C8" w:rsidRPr="00581AAC">
        <w:t xml:space="preserve">data linking, </w:t>
      </w:r>
      <w:r w:rsidR="009D44B0">
        <w:t>enterprise</w:t>
      </w:r>
      <w:r w:rsidR="000C07C8" w:rsidRPr="00581AAC">
        <w:t xml:space="preserve"> heterogeneity</w:t>
      </w:r>
    </w:p>
    <w:p w14:paraId="17E40A7F" w14:textId="77777777" w:rsidR="006B1F86" w:rsidRPr="003A4BCD" w:rsidRDefault="00B601BE" w:rsidP="002A6A14">
      <w:pPr>
        <w:pStyle w:val="Overskrift2"/>
      </w:pPr>
      <w:r w:rsidRPr="003A4BCD">
        <w:lastRenderedPageBreak/>
        <w:t>Introduction</w:t>
      </w:r>
    </w:p>
    <w:p w14:paraId="22735CA4" w14:textId="298601E7" w:rsidR="000C07C8" w:rsidRPr="00581AAC" w:rsidRDefault="000C07C8" w:rsidP="000C07C8">
      <w:r w:rsidRPr="003A4BCD">
        <w:t xml:space="preserve">The </w:t>
      </w:r>
      <w:r w:rsidR="003A4BCD" w:rsidRPr="003A4BCD">
        <w:t>National Statistical Institutes (NSIs)</w:t>
      </w:r>
      <w:r w:rsidR="003A4BCD">
        <w:rPr>
          <w:rStyle w:val="Fodnotehenvisning"/>
        </w:rPr>
        <w:footnoteReference w:id="1"/>
      </w:r>
      <w:r w:rsidRPr="003A4BCD">
        <w:t xml:space="preserve"> are increasingly confronted with the challenge of balancing (new) user needs for business statistics covering emerging issues</w:t>
      </w:r>
      <w:r w:rsidR="003767F4">
        <w:t>,</w:t>
      </w:r>
      <w:r w:rsidRPr="003767F4">
        <w:t xml:space="preserve"> such as internationalisation of the production arrangements and structures of the enterprises with the requirements from policy makers to reduce the respondent burden on enterprises. </w:t>
      </w:r>
      <w:r w:rsidR="00581AAC">
        <w:t>In this paper</w:t>
      </w:r>
      <w:r w:rsidR="00C46B57">
        <w:t>,</w:t>
      </w:r>
      <w:r w:rsidR="00581AAC">
        <w:t xml:space="preserve"> we a</w:t>
      </w:r>
      <w:r w:rsidR="00B766D5">
        <w:t>r</w:t>
      </w:r>
      <w:r w:rsidR="00581AAC">
        <w:t xml:space="preserve">gue and give examples of how </w:t>
      </w:r>
      <w:r w:rsidRPr="00581AAC">
        <w:t xml:space="preserve">establishing databases consisting of variables from different statistical registers at enterprise level is a very powerful tool in meeting this challenge. By linking information from different statistical registers at enterprise level (so-called </w:t>
      </w:r>
      <w:r w:rsidR="00FB2E42">
        <w:t>m</w:t>
      </w:r>
      <w:r w:rsidR="00581AAC">
        <w:t>icro-</w:t>
      </w:r>
      <w:r w:rsidR="00FB2E42">
        <w:t>d</w:t>
      </w:r>
      <w:r w:rsidRPr="00581AAC">
        <w:t xml:space="preserve">ata </w:t>
      </w:r>
      <w:r w:rsidR="00FB2E42">
        <w:t>l</w:t>
      </w:r>
      <w:r w:rsidRPr="00581AAC">
        <w:t xml:space="preserve">inking), it is possible to </w:t>
      </w:r>
      <w:r w:rsidR="00581AAC">
        <w:t xml:space="preserve">gain </w:t>
      </w:r>
      <w:r w:rsidRPr="00581AAC">
        <w:t xml:space="preserve">new knowledge about enterprise performance and illustrate the importance and impact of </w:t>
      </w:r>
      <w:r w:rsidR="009D44B0">
        <w:t>enterprise</w:t>
      </w:r>
      <w:r w:rsidRPr="00581AAC">
        <w:t xml:space="preserve"> heterogeneity such as size, group relation or export status.</w:t>
      </w:r>
    </w:p>
    <w:p w14:paraId="3EB5C363" w14:textId="1503D3B6" w:rsidR="000C07C8" w:rsidRPr="003A4BCD" w:rsidRDefault="000C07C8" w:rsidP="00B601BE">
      <w:r w:rsidRPr="003A4BCD">
        <w:t xml:space="preserve">Introducing </w:t>
      </w:r>
      <w:r w:rsidR="00FB2E42">
        <w:t>m</w:t>
      </w:r>
      <w:r w:rsidRPr="003A4BCD">
        <w:t>icro-</w:t>
      </w:r>
      <w:r w:rsidR="00FB2E42">
        <w:t>d</w:t>
      </w:r>
      <w:r w:rsidRPr="003A4BCD">
        <w:t xml:space="preserve">ata </w:t>
      </w:r>
      <w:r w:rsidR="00FB2E42">
        <w:t>l</w:t>
      </w:r>
      <w:r w:rsidRPr="003A4BCD">
        <w:t xml:space="preserve">inking (MDL) has a number of advantages. Firstly, the method addresses </w:t>
      </w:r>
      <w:r w:rsidR="00B766D5">
        <w:t xml:space="preserve">the </w:t>
      </w:r>
      <w:r w:rsidRPr="003A4BCD">
        <w:t xml:space="preserve">issue of establishing new knowledge without increasing the respondent burden on enterprises. Secondly, the MDL approach increases the return on investment for the existing statistical production. Thirdly, </w:t>
      </w:r>
      <w:r w:rsidR="003767F4">
        <w:t xml:space="preserve">attempts to </w:t>
      </w:r>
      <w:r w:rsidRPr="003767F4">
        <w:t>analys</w:t>
      </w:r>
      <w:r w:rsidR="003767F4">
        <w:t>e</w:t>
      </w:r>
      <w:r w:rsidRPr="003767F4">
        <w:t xml:space="preserve"> </w:t>
      </w:r>
      <w:r w:rsidR="003767F4">
        <w:t xml:space="preserve">causalities </w:t>
      </w:r>
      <w:r w:rsidRPr="003767F4">
        <w:t xml:space="preserve">requires </w:t>
      </w:r>
      <w:r w:rsidR="003767F4">
        <w:t>multiple point</w:t>
      </w:r>
      <w:r w:rsidR="00061786">
        <w:t>s</w:t>
      </w:r>
      <w:r w:rsidR="003767F4">
        <w:t xml:space="preserve"> of departures and </w:t>
      </w:r>
      <w:r w:rsidRPr="003767F4">
        <w:t>linking</w:t>
      </w:r>
      <w:r w:rsidR="003767F4">
        <w:t xml:space="preserve"> of</w:t>
      </w:r>
      <w:r w:rsidRPr="003767F4">
        <w:t xml:space="preserve"> different types of </w:t>
      </w:r>
      <w:r w:rsidR="00061786">
        <w:t>information</w:t>
      </w:r>
      <w:r w:rsidR="00061786" w:rsidRPr="003767F4">
        <w:t xml:space="preserve"> </w:t>
      </w:r>
      <w:r w:rsidRPr="003767F4">
        <w:t>at enterprise level</w:t>
      </w:r>
      <w:r w:rsidR="003767F4">
        <w:t>. This clearly demands</w:t>
      </w:r>
      <w:r w:rsidRPr="003767F4">
        <w:t xml:space="preserve"> breaking through the traditional stovepipes of statistical production. Finally, this approach constitutes an agile and flexible tool for the NSIs to produce data on emerging policy issues in a timely manner. </w:t>
      </w:r>
    </w:p>
    <w:p w14:paraId="5E159590" w14:textId="77777777" w:rsidR="000C07C8" w:rsidRPr="003A4BCD" w:rsidRDefault="000C07C8" w:rsidP="000C07C8">
      <w:r w:rsidRPr="003A4BCD">
        <w:t xml:space="preserve">Databases holding information from </w:t>
      </w:r>
      <w:r w:rsidRPr="00353DCE">
        <w:t xml:space="preserve">different statistical sources at enterprise level can be established at national level but by co-ordinating and harmonising the contents of the databases internationally, an extra dimension of comparability across countries and value added can be achieved. </w:t>
      </w:r>
      <w:r w:rsidRPr="003A4BCD">
        <w:t xml:space="preserve">The business statistics departments in the Nordic NSIs have established </w:t>
      </w:r>
      <w:r w:rsidR="00353DCE">
        <w:t>harmonise</w:t>
      </w:r>
      <w:r w:rsidRPr="00353DCE">
        <w:t xml:space="preserve">d databases in each statistical office. The databases are used for carrying out distributed </w:t>
      </w:r>
      <w:r w:rsidRPr="003A4BCD">
        <w:t xml:space="preserve">MDL for analytical purposes by means of centrally </w:t>
      </w:r>
      <w:r w:rsidR="00061786">
        <w:t>scripted</w:t>
      </w:r>
      <w:r w:rsidR="00061786" w:rsidRPr="003A4BCD">
        <w:t xml:space="preserve"> </w:t>
      </w:r>
      <w:r w:rsidRPr="003A4BCD">
        <w:t xml:space="preserve">syntax, to be run locally by each NSI. This approach allows for the design of </w:t>
      </w:r>
      <w:r w:rsidR="00353DCE">
        <w:t>harmonise</w:t>
      </w:r>
      <w:r w:rsidRPr="00353DCE">
        <w:t xml:space="preserve">d, tailor-made statistical output across the Nordic countries for </w:t>
      </w:r>
      <w:r w:rsidRPr="003A4BCD">
        <w:t>comparative analysis, without micro-data leaving the NSIs. The trusted partnership</w:t>
      </w:r>
      <w:r w:rsidR="00BA4F78">
        <w:t xml:space="preserve"> between the NSIs</w:t>
      </w:r>
      <w:r w:rsidR="00061786">
        <w:t>,</w:t>
      </w:r>
      <w:r w:rsidRPr="003A4BCD">
        <w:t xml:space="preserve"> and the </w:t>
      </w:r>
      <w:r w:rsidR="00353DCE">
        <w:t>harmonise</w:t>
      </w:r>
      <w:r w:rsidRPr="00353DCE">
        <w:t xml:space="preserve">d databases </w:t>
      </w:r>
      <w:r w:rsidR="002A24C1">
        <w:t>has</w:t>
      </w:r>
      <w:r w:rsidRPr="00353DCE">
        <w:t xml:space="preserve"> gradually been established over the </w:t>
      </w:r>
      <w:r w:rsidR="00061786">
        <w:t>past</w:t>
      </w:r>
      <w:r w:rsidR="00061786" w:rsidRPr="00353DCE">
        <w:t xml:space="preserve"> </w:t>
      </w:r>
      <w:r w:rsidRPr="00353DCE">
        <w:t>nine years through varies projects and face-to-face meetings.</w:t>
      </w:r>
      <w:r w:rsidRPr="003A4BCD">
        <w:t xml:space="preserve"> It is important to emphasi</w:t>
      </w:r>
      <w:r w:rsidR="003A036A">
        <w:t>s</w:t>
      </w:r>
      <w:r w:rsidRPr="003A4BCD">
        <w:t xml:space="preserve">e that the financing of the databases mainly have been covered by </w:t>
      </w:r>
      <w:r w:rsidR="002A24C1">
        <w:t xml:space="preserve">projects commissioned by external partners for instance by </w:t>
      </w:r>
      <w:r w:rsidR="002A24C1" w:rsidRPr="002A24C1">
        <w:t>the Nordic Council of Ministers</w:t>
      </w:r>
      <w:r w:rsidR="002A24C1">
        <w:t>.</w:t>
      </w:r>
    </w:p>
    <w:p w14:paraId="7D17A507" w14:textId="77777777" w:rsidR="000C07C8" w:rsidRPr="000F2678" w:rsidRDefault="000C07C8" w:rsidP="000C07C8">
      <w:r w:rsidRPr="000F2678">
        <w:t xml:space="preserve">The paper is divided into three main parts: the first one deals with establishing the foundation for MDL (sections 2-3) and </w:t>
      </w:r>
      <w:r w:rsidR="000F2678">
        <w:t xml:space="preserve">in the second part a selection of results </w:t>
      </w:r>
      <w:r w:rsidR="000F2678" w:rsidRPr="000F2678">
        <w:t xml:space="preserve">from utilising the </w:t>
      </w:r>
      <w:r w:rsidR="00061786">
        <w:t xml:space="preserve">MDL </w:t>
      </w:r>
      <w:r w:rsidR="000F2678" w:rsidRPr="000F2678">
        <w:t>database</w:t>
      </w:r>
      <w:r w:rsidR="000F2678">
        <w:t xml:space="preserve"> is presented </w:t>
      </w:r>
      <w:r w:rsidRPr="000F2678">
        <w:t xml:space="preserve">(section 4). </w:t>
      </w:r>
      <w:r w:rsidR="00A85335">
        <w:t>Lastly,</w:t>
      </w:r>
      <w:r w:rsidR="000F2678">
        <w:t xml:space="preserve"> </w:t>
      </w:r>
      <w:r w:rsidRPr="000F2678">
        <w:t>section five</w:t>
      </w:r>
      <w:r w:rsidR="000F2678">
        <w:t xml:space="preserve"> concludes t</w:t>
      </w:r>
      <w:r w:rsidRPr="000F2678">
        <w:t xml:space="preserve">he paper </w:t>
      </w:r>
      <w:r w:rsidR="000F2678">
        <w:t xml:space="preserve">with a </w:t>
      </w:r>
      <w:r w:rsidRPr="000F2678">
        <w:t>look on future challenges and goal</w:t>
      </w:r>
      <w:r w:rsidR="000F2678">
        <w:t>s</w:t>
      </w:r>
      <w:r w:rsidRPr="000F2678">
        <w:t xml:space="preserve"> for micro-data linking within business statistics. </w:t>
      </w:r>
    </w:p>
    <w:p w14:paraId="0F22F714" w14:textId="77777777" w:rsidR="00B601BE" w:rsidRPr="00353DCE" w:rsidRDefault="00B601BE" w:rsidP="00B601BE">
      <w:pPr>
        <w:pStyle w:val="Overskrift2"/>
      </w:pPr>
      <w:r w:rsidRPr="00BC7A4B">
        <w:t>Organisation, data-sou</w:t>
      </w:r>
      <w:r w:rsidRPr="00353DCE">
        <w:t>rces and structure</w:t>
      </w:r>
    </w:p>
    <w:p w14:paraId="4B6D85B8" w14:textId="3A048B93" w:rsidR="000C07C8" w:rsidRPr="003A4BCD" w:rsidRDefault="000C07C8" w:rsidP="000C07C8">
      <w:r w:rsidRPr="00353DCE">
        <w:t xml:space="preserve">The </w:t>
      </w:r>
      <w:r w:rsidR="00B766D5">
        <w:t xml:space="preserve">Nordic </w:t>
      </w:r>
      <w:r w:rsidRPr="00353DCE">
        <w:t>NSIs are particularly well placed to establish micro-level databases. This is founded in an</w:t>
      </w:r>
      <w:r w:rsidR="00FB2E42">
        <w:t xml:space="preserve"> already</w:t>
      </w:r>
      <w:r w:rsidRPr="00FB2E42">
        <w:t xml:space="preserve"> established</w:t>
      </w:r>
      <w:r w:rsidR="00FB2E42">
        <w:t xml:space="preserve"> and well proven</w:t>
      </w:r>
      <w:r w:rsidRPr="00FB2E42">
        <w:t xml:space="preserve"> production system for business statistics</w:t>
      </w:r>
      <w:r w:rsidR="002A24C1">
        <w:t>.</w:t>
      </w:r>
      <w:r w:rsidR="00061786">
        <w:t xml:space="preserve"> </w:t>
      </w:r>
      <w:r w:rsidR="002A24C1">
        <w:t xml:space="preserve">In addition, the integrated </w:t>
      </w:r>
      <w:r w:rsidR="00FB2E42">
        <w:t xml:space="preserve">use of </w:t>
      </w:r>
      <w:r w:rsidRPr="00FB2E42">
        <w:t xml:space="preserve">unique identification numbers </w:t>
      </w:r>
      <w:r w:rsidR="00FB2E42">
        <w:t>for</w:t>
      </w:r>
      <w:r w:rsidRPr="00FB2E42">
        <w:t xml:space="preserve"> enterprises across a range of different statistical and administrative registers</w:t>
      </w:r>
      <w:r w:rsidR="002A24C1">
        <w:t xml:space="preserve"> makes </w:t>
      </w:r>
      <w:r w:rsidR="00061786">
        <w:t xml:space="preserve">information </w:t>
      </w:r>
      <w:r w:rsidR="002A24C1">
        <w:t xml:space="preserve">linkable. </w:t>
      </w:r>
      <w:r w:rsidR="00B766D5">
        <w:t xml:space="preserve">Finally, </w:t>
      </w:r>
      <w:r w:rsidRPr="00FB2E42">
        <w:t xml:space="preserve">the statistical business register </w:t>
      </w:r>
      <w:r w:rsidR="002A24C1">
        <w:t>acts as</w:t>
      </w:r>
      <w:r w:rsidR="003A036A" w:rsidRPr="00FB2E42">
        <w:t xml:space="preserve"> </w:t>
      </w:r>
      <w:r w:rsidRPr="00FB2E42">
        <w:t xml:space="preserve">the </w:t>
      </w:r>
      <w:r w:rsidR="002A24C1">
        <w:t>b</w:t>
      </w:r>
      <w:r w:rsidR="00B766D5">
        <w:t>ackbone</w:t>
      </w:r>
      <w:r w:rsidRPr="00FB2E42">
        <w:t xml:space="preserve"> of the production of</w:t>
      </w:r>
      <w:r w:rsidR="002A24C1">
        <w:t xml:space="preserve"> any of the</w:t>
      </w:r>
      <w:r w:rsidRPr="00FB2E42">
        <w:t xml:space="preserve"> business statistics. All Nordic NSIs make intensive use of the underlying administrative sources and registers, covering a range of relevant variables at enterprise level, e.g. turnover (from VAT registers held by the tax authorities and based on the VAT declarations from the enterprises</w:t>
      </w:r>
      <w:r w:rsidRPr="003A036A">
        <w:t>) and employment (from Tax regis</w:t>
      </w:r>
      <w:r w:rsidRPr="002A24C1">
        <w:t xml:space="preserve">ters based on salary information from the enterprises). </w:t>
      </w:r>
      <w:r w:rsidR="00B766D5">
        <w:t>By</w:t>
      </w:r>
      <w:r w:rsidR="00061786">
        <w:t xml:space="preserve"> linking </w:t>
      </w:r>
      <w:r w:rsidRPr="002A24C1">
        <w:t>registers</w:t>
      </w:r>
      <w:r w:rsidR="00B766D5">
        <w:t>,</w:t>
      </w:r>
      <w:r w:rsidRPr="002A24C1">
        <w:t xml:space="preserve"> a more holistic view of the </w:t>
      </w:r>
      <w:r w:rsidR="009D44B0">
        <w:t>enterprise</w:t>
      </w:r>
      <w:r w:rsidRPr="009D44B0">
        <w:t xml:space="preserve"> </w:t>
      </w:r>
      <w:r w:rsidR="00061786">
        <w:t xml:space="preserve">can be achieved, </w:t>
      </w:r>
      <w:r w:rsidRPr="009D44B0">
        <w:t>based on a large number of observed variables at enterprise level</w:t>
      </w:r>
      <w:r w:rsidR="00B766D5">
        <w:t>, especially due to the use of administrative registers</w:t>
      </w:r>
      <w:r w:rsidRPr="003A4BCD">
        <w:t>.</w:t>
      </w:r>
    </w:p>
    <w:p w14:paraId="43AFBA50" w14:textId="77777777" w:rsidR="000C07C8" w:rsidRPr="003A4BCD" w:rsidRDefault="000C07C8" w:rsidP="000C07C8">
      <w:r w:rsidRPr="003A4BCD">
        <w:t xml:space="preserve">The business statistics departments have established an infrastructure that allows for </w:t>
      </w:r>
      <w:r w:rsidR="00581AAC">
        <w:t>micro-</w:t>
      </w:r>
      <w:r w:rsidRPr="00581AAC">
        <w:t>data analysis and work in close co-operation utili</w:t>
      </w:r>
      <w:r w:rsidR="003A036A">
        <w:t>s</w:t>
      </w:r>
      <w:r w:rsidRPr="00581AAC">
        <w:t>ing the statistical registers in the Nordic NSIs. The national databases contain a range of sources and currently cover the reference period 2008-2016. The registers and t</w:t>
      </w:r>
      <w:r w:rsidRPr="003A4BCD">
        <w:t>heir information are all linked by unique enterprise ID</w:t>
      </w:r>
      <w:r w:rsidR="00353DCE">
        <w:t>-</w:t>
      </w:r>
      <w:r w:rsidRPr="00353DCE">
        <w:t>numbers being available in all the statistical registers. The sources and their main contents are:</w:t>
      </w:r>
    </w:p>
    <w:p w14:paraId="478B5A11" w14:textId="77777777" w:rsidR="000C07C8" w:rsidRPr="00353DCE" w:rsidRDefault="000C07C8" w:rsidP="000C07C8">
      <w:r w:rsidRPr="003A4BCD">
        <w:t>•</w:t>
      </w:r>
      <w:r w:rsidRPr="003A4BCD">
        <w:tab/>
      </w:r>
      <w:r w:rsidRPr="000F2678">
        <w:rPr>
          <w:i/>
        </w:rPr>
        <w:t>Business Register (BR)</w:t>
      </w:r>
      <w:r w:rsidRPr="000F2678">
        <w:t xml:space="preserve">: covering all enterprises and holding information about identification </w:t>
      </w:r>
      <w:r w:rsidR="00353DCE">
        <w:t>number</w:t>
      </w:r>
      <w:r w:rsidRPr="00353DCE">
        <w:t xml:space="preserve"> of the enterprise, enterprise group identifier (where applicable), activity code, legal form and other basic structural enterprise variables. This forms the backbone of the database and is used to link the different statistical registers.</w:t>
      </w:r>
    </w:p>
    <w:p w14:paraId="480B1132" w14:textId="77777777" w:rsidR="000C07C8" w:rsidRPr="000F2678" w:rsidRDefault="000C07C8" w:rsidP="000C07C8">
      <w:r w:rsidRPr="003767F4">
        <w:t>•</w:t>
      </w:r>
      <w:r w:rsidRPr="003767F4">
        <w:tab/>
      </w:r>
      <w:r w:rsidRPr="003A4BCD">
        <w:rPr>
          <w:i/>
        </w:rPr>
        <w:t>Structural Business Statistics (SBS)</w:t>
      </w:r>
      <w:r w:rsidRPr="003A4BCD">
        <w:t xml:space="preserve">: along with the BR considered the backbone of the database. The statistical register contains key variables on employment, turnover, and value added for enterprises within the scope of SBS. The SBS covers the non-financial business economy (NACE B to </w:t>
      </w:r>
      <w:r w:rsidR="00241CBB">
        <w:t>S</w:t>
      </w:r>
      <w:r w:rsidRPr="000F2678">
        <w:t>, except K) and determines the activity coverage of the database, see box 1.</w:t>
      </w:r>
    </w:p>
    <w:p w14:paraId="6B9F8EE4" w14:textId="77777777" w:rsidR="001E0006" w:rsidRPr="00BC7A4B" w:rsidRDefault="001E0006" w:rsidP="000C07C8"/>
    <w:tbl>
      <w:tblPr>
        <w:tblW w:w="8845" w:type="dxa"/>
        <w:tblInd w:w="227" w:type="dxa"/>
        <w:shd w:val="clear" w:color="auto" w:fill="D0CECE" w:themeFill="background2" w:themeFillShade="E6"/>
        <w:tblLayout w:type="fixed"/>
        <w:tblCellMar>
          <w:top w:w="227" w:type="dxa"/>
          <w:left w:w="227" w:type="dxa"/>
          <w:bottom w:w="227" w:type="dxa"/>
          <w:right w:w="227" w:type="dxa"/>
        </w:tblCellMar>
        <w:tblLook w:val="01E0" w:firstRow="1" w:lastRow="1" w:firstColumn="1" w:lastColumn="1" w:noHBand="0" w:noVBand="0"/>
      </w:tblPr>
      <w:tblGrid>
        <w:gridCol w:w="8845"/>
      </w:tblGrid>
      <w:sdt>
        <w:sdtPr>
          <w:rPr>
            <w:rFonts w:eastAsia="Times New Roman"/>
            <w:sz w:val="18"/>
            <w:szCs w:val="20"/>
            <w:lang w:eastAsia="da-DK"/>
          </w:rPr>
          <w:alias w:val="axesPDF - Layout Table"/>
          <w:tag w:val="axesPDF:Table:TableLayoutTable"/>
          <w:id w:val="1909880975"/>
        </w:sdtPr>
        <w:sdtEndPr/>
        <w:sdtContent>
          <w:tr w:rsidR="001E0006" w:rsidRPr="00353DCE" w14:paraId="6F65B720" w14:textId="77777777" w:rsidTr="002A24C1">
            <w:trPr>
              <w:trHeight w:val="567"/>
            </w:trPr>
            <w:tc>
              <w:tcPr>
                <w:tcW w:w="8845" w:type="dxa"/>
                <w:shd w:val="clear" w:color="auto" w:fill="D0CECE" w:themeFill="background2" w:themeFillShade="E6"/>
              </w:tcPr>
              <w:p w14:paraId="6339B7F6" w14:textId="77777777" w:rsidR="001E0006" w:rsidRPr="00353DCE" w:rsidRDefault="001E0006" w:rsidP="001E0006">
                <w:pPr>
                  <w:tabs>
                    <w:tab w:val="left" w:pos="284"/>
                  </w:tabs>
                  <w:spacing w:before="0" w:line="280" w:lineRule="atLeast"/>
                  <w:rPr>
                    <w:rFonts w:eastAsia="Times New Roman"/>
                    <w:sz w:val="18"/>
                    <w:szCs w:val="20"/>
                    <w:lang w:eastAsia="da-DK"/>
                  </w:rPr>
                </w:pPr>
                <w:r w:rsidRPr="00353DCE">
                  <w:rPr>
                    <w:rFonts w:eastAsia="Times New Roman"/>
                    <w:sz w:val="18"/>
                    <w:szCs w:val="20"/>
                    <w:lang w:eastAsia="da-DK"/>
                  </w:rPr>
                  <w:t xml:space="preserve">Box 1: Delineation of the </w:t>
                </w:r>
                <w:r w:rsidR="00581AAC" w:rsidRPr="00353DCE">
                  <w:rPr>
                    <w:rFonts w:eastAsia="Times New Roman"/>
                    <w:sz w:val="18"/>
                    <w:szCs w:val="20"/>
                    <w:lang w:eastAsia="da-DK"/>
                  </w:rPr>
                  <w:t>non-financial</w:t>
                </w:r>
                <w:r w:rsidRPr="00353DCE">
                  <w:rPr>
                    <w:rFonts w:eastAsia="Times New Roman"/>
                    <w:sz w:val="18"/>
                    <w:szCs w:val="20"/>
                    <w:lang w:eastAsia="da-DK"/>
                  </w:rPr>
                  <w:t xml:space="preserve"> business economy</w:t>
                </w:r>
              </w:p>
              <w:p w14:paraId="38535161" w14:textId="77777777" w:rsidR="001E0006" w:rsidRPr="00353DCE" w:rsidRDefault="001E0006" w:rsidP="001E0006">
                <w:pPr>
                  <w:spacing w:before="0" w:after="200" w:line="276" w:lineRule="auto"/>
                  <w:rPr>
                    <w:rFonts w:eastAsia="Times New Roman"/>
                    <w:sz w:val="18"/>
                    <w:szCs w:val="20"/>
                    <w:lang w:eastAsia="da-DK"/>
                  </w:rPr>
                </w:pPr>
                <w:r w:rsidRPr="00353DCE">
                  <w:rPr>
                    <w:rFonts w:ascii="Corbel" w:eastAsia="Calibri" w:hAnsi="Corbel" w:cs="Times New Roman"/>
                    <w:sz w:val="18"/>
                    <w:szCs w:val="18"/>
                  </w:rPr>
                  <w:t>The non-financial business economy consists of the NACE Rev.2 sections: Manufacturing, Electricity, gas, steam and air conditioning supply, Water supply, sewage, waste management and remediation activities, Construction, Wholesale and retail trade, Transportation and storage, Accommodation and food service activities, Information and communication, Real estate activities, Professional, scientific and technical activities</w:t>
                </w:r>
                <w:r w:rsidRPr="00353DCE">
                  <w:rPr>
                    <w:rFonts w:eastAsia="Times New Roman"/>
                    <w:sz w:val="18"/>
                    <w:szCs w:val="20"/>
                    <w:lang w:eastAsia="da-DK"/>
                  </w:rPr>
                  <w:t>..</w:t>
                </w:r>
              </w:p>
            </w:tc>
          </w:tr>
        </w:sdtContent>
      </w:sdt>
    </w:tbl>
    <w:p w14:paraId="2C2F2C01" w14:textId="77777777" w:rsidR="001E0006" w:rsidRPr="000F2678" w:rsidRDefault="001E0006" w:rsidP="000C07C8"/>
    <w:p w14:paraId="28B7F310" w14:textId="77777777" w:rsidR="000C07C8" w:rsidRPr="00353DCE" w:rsidRDefault="000C07C8" w:rsidP="000C07C8">
      <w:r w:rsidRPr="00BC7A4B">
        <w:t>•</w:t>
      </w:r>
      <w:r w:rsidRPr="00BC7A4B">
        <w:tab/>
      </w:r>
      <w:r w:rsidRPr="00353DCE">
        <w:rPr>
          <w:i/>
        </w:rPr>
        <w:t>Inward Foreign Affiliates Statistics (IFATS)</w:t>
      </w:r>
      <w:r w:rsidRPr="00353DCE">
        <w:t>: contains foreign controlled enterprises within the country. The statistics enables comparisons and analyses of performance of domestically versus foreign controlled enterprises,</w:t>
      </w:r>
    </w:p>
    <w:p w14:paraId="33F47857" w14:textId="77777777" w:rsidR="000C07C8" w:rsidRPr="00353DCE" w:rsidRDefault="000C07C8" w:rsidP="000C07C8">
      <w:r w:rsidRPr="00353DCE">
        <w:t xml:space="preserve"> •</w:t>
      </w:r>
      <w:r w:rsidRPr="00353DCE">
        <w:tab/>
      </w:r>
      <w:r w:rsidRPr="00353DCE">
        <w:rPr>
          <w:i/>
        </w:rPr>
        <w:t>Outward Foreign Affiliates Statistics (OFATS)</w:t>
      </w:r>
      <w:r w:rsidRPr="00353DCE">
        <w:t>: contains information (employment and turnover) about the domestically owned affiliates abroad by geographical location. The statistics enables analyses of the global reach and activities of domestically owned enterprises.</w:t>
      </w:r>
    </w:p>
    <w:p w14:paraId="44B97F0B" w14:textId="77777777" w:rsidR="000C07C8" w:rsidRPr="00353DCE" w:rsidRDefault="000C07C8" w:rsidP="000C07C8">
      <w:r w:rsidRPr="00353DCE">
        <w:t>•</w:t>
      </w:r>
      <w:r w:rsidRPr="00353DCE">
        <w:tab/>
      </w:r>
      <w:r w:rsidRPr="00353DCE">
        <w:rPr>
          <w:i/>
        </w:rPr>
        <w:t>International Trade in Goods Statistics (ITGS)</w:t>
      </w:r>
      <w:r w:rsidRPr="00353DCE">
        <w:t>: contains imports and exports values for goods by detailed product categories and geographical destination/origin for each enterprise.  The statistics enables analyses of trade patterns of different types of enterprises and their global reach.</w:t>
      </w:r>
    </w:p>
    <w:p w14:paraId="1B4B8FE1" w14:textId="77777777" w:rsidR="000C07C8" w:rsidRPr="00353DCE" w:rsidRDefault="000C07C8" w:rsidP="000C07C8">
      <w:r w:rsidRPr="00353DCE">
        <w:t xml:space="preserve"> •</w:t>
      </w:r>
      <w:r w:rsidRPr="00353DCE">
        <w:tab/>
      </w:r>
      <w:r w:rsidRPr="00353DCE">
        <w:rPr>
          <w:i/>
        </w:rPr>
        <w:t>International Trade in Services Statistics (ITSS)</w:t>
      </w:r>
      <w:r w:rsidRPr="00353DCE">
        <w:t>: contains imports and exports values by service product categories and geographical destination/origin for each company. This data source is sample-based, and the service product categories are not as detailed as is the case in the ITGS data. The statistics enables analyses of services trade patterns of different types of enterprises and also allowing for analyses of the possible mix of goods and services exports/imports by combining information from ITGS and ITSS.</w:t>
      </w:r>
    </w:p>
    <w:p w14:paraId="3CDB7E22" w14:textId="77777777" w:rsidR="000C07C8" w:rsidRPr="00353DCE" w:rsidRDefault="000C07C8" w:rsidP="000C07C8">
      <w:r w:rsidRPr="00353DCE">
        <w:t>•</w:t>
      </w:r>
      <w:r w:rsidRPr="00353DCE">
        <w:tab/>
      </w:r>
      <w:r w:rsidRPr="00353DCE">
        <w:rPr>
          <w:i/>
        </w:rPr>
        <w:t>International sourcing and organi</w:t>
      </w:r>
      <w:r w:rsidR="003A036A">
        <w:rPr>
          <w:i/>
        </w:rPr>
        <w:t>s</w:t>
      </w:r>
      <w:r w:rsidRPr="003A036A">
        <w:rPr>
          <w:i/>
        </w:rPr>
        <w:t>ation by business functions</w:t>
      </w:r>
      <w:r w:rsidRPr="003A036A">
        <w:t>: contains selected variables from ad hoc surveys on offshoring</w:t>
      </w:r>
      <w:r w:rsidRPr="00BC7A4B">
        <w:t xml:space="preserve"> and related job effects by business functions and geographical areas in the periods 2009-2011 and 2014-2016. The statistics enables analyses of the impact of offshoring on domestic emp</w:t>
      </w:r>
      <w:r w:rsidRPr="00353DCE">
        <w:t xml:space="preserve">loyment and the global organisation of the value chains. </w:t>
      </w:r>
    </w:p>
    <w:p w14:paraId="4B82BE8F" w14:textId="77777777" w:rsidR="000C07C8" w:rsidRPr="00581AAC" w:rsidRDefault="000C07C8" w:rsidP="000C07C8">
      <w:r w:rsidRPr="00353DCE">
        <w:t>•</w:t>
      </w:r>
      <w:r w:rsidRPr="00353DCE">
        <w:tab/>
      </w:r>
      <w:r w:rsidRPr="00353DCE">
        <w:rPr>
          <w:i/>
        </w:rPr>
        <w:t>R&amp;D statistics and Community Innovation Survey (CIS)</w:t>
      </w:r>
      <w:r w:rsidRPr="00353DCE">
        <w:t>: contains variables such as total, intra- and extra-mural R&amp;D costs, indicators of different types of innovation activity. The statistics enables analyses focusing on the activity, scale and organi</w:t>
      </w:r>
      <w:r w:rsidR="003A036A">
        <w:t>s</w:t>
      </w:r>
      <w:r w:rsidRPr="003A036A">
        <w:t xml:space="preserve">ation of these types of activities by different types of companies. </w:t>
      </w:r>
      <w:r w:rsidR="00581AAC">
        <w:t>This e</w:t>
      </w:r>
      <w:r w:rsidRPr="00581AAC">
        <w:t xml:space="preserve">nables </w:t>
      </w:r>
      <w:r w:rsidR="00581AAC">
        <w:t xml:space="preserve">the </w:t>
      </w:r>
      <w:r w:rsidRPr="00581AAC">
        <w:t>analyses of the performance of R&amp;D intensive enterprises.</w:t>
      </w:r>
    </w:p>
    <w:p w14:paraId="71D5567A" w14:textId="77777777" w:rsidR="000C07C8" w:rsidRPr="003A4BCD" w:rsidRDefault="000C07C8" w:rsidP="000C07C8">
      <w:r w:rsidRPr="003A4BCD">
        <w:t>•</w:t>
      </w:r>
      <w:r w:rsidRPr="003A4BCD">
        <w:tab/>
      </w:r>
      <w:r w:rsidRPr="003A4BCD">
        <w:rPr>
          <w:i/>
        </w:rPr>
        <w:t>Business demography (BD)</w:t>
      </w:r>
      <w:r w:rsidRPr="003A4BCD">
        <w:t xml:space="preserve">: contains variables such birth, death and survival of enterprises. In the database, the BD is used as a source </w:t>
      </w:r>
      <w:r w:rsidRPr="00353DCE">
        <w:t xml:space="preserve">for defining the enterprise age, thus allowing carrying out analysis with an age variable that is, for example, clean from non-real entries resulting from administrative restructuring. </w:t>
      </w:r>
      <w:r w:rsidR="002A24C1">
        <w:t>This e</w:t>
      </w:r>
      <w:r w:rsidRPr="00353DCE">
        <w:t>nables analyses of business dynamics</w:t>
      </w:r>
      <w:r w:rsidR="002A24C1" w:rsidRPr="002A24C1">
        <w:t xml:space="preserve"> </w:t>
      </w:r>
      <w:r w:rsidR="002A24C1">
        <w:t>for instance in terms of new enterprises contribution to growth.</w:t>
      </w:r>
    </w:p>
    <w:p w14:paraId="2063810E" w14:textId="77777777" w:rsidR="00B601BE" w:rsidRPr="000F2678" w:rsidRDefault="00B601BE" w:rsidP="000C07C8">
      <w:pPr>
        <w:rPr>
          <w:b/>
        </w:rPr>
      </w:pPr>
      <w:r w:rsidRPr="003A4BCD">
        <w:rPr>
          <w:b/>
        </w:rPr>
        <w:t>Figure 1: Structure of the databases</w:t>
      </w:r>
    </w:p>
    <w:p w14:paraId="245ABDF2" w14:textId="77777777" w:rsidR="00B601BE" w:rsidRPr="00353DCE" w:rsidRDefault="0075529B" w:rsidP="00B601BE">
      <w:r w:rsidRPr="00353DCE">
        <w:rPr>
          <w:noProof/>
          <w:lang w:val="da-DK" w:eastAsia="da-DK"/>
        </w:rPr>
        <w:drawing>
          <wp:inline distT="0" distB="0" distL="0" distR="0" wp14:anchorId="4F9799BD" wp14:editId="05F1D18A">
            <wp:extent cx="5339475" cy="3338422"/>
            <wp:effectExtent l="0" t="133350" r="0" b="1670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35A7CF" w14:textId="77777777" w:rsidR="000C07C8" w:rsidRPr="00353DCE" w:rsidRDefault="000C07C8" w:rsidP="00B601BE">
      <w:r w:rsidRPr="003A4BCD">
        <w:t xml:space="preserve">The database </w:t>
      </w:r>
      <w:r w:rsidRPr="000F2678">
        <w:t xml:space="preserve">contains selected variables from the data sources mentioned above. The Business register (BR) is the backbone, and thus forms the core population of </w:t>
      </w:r>
      <w:r w:rsidR="009D44B0">
        <w:t>enterprise</w:t>
      </w:r>
      <w:r w:rsidRPr="009D44B0">
        <w:t>s for analysis. From the BR, information about enterprise identities and group identities can be derived. These are used as the keys between the different statistical registers at micro level. The structure of the database is based on the existing statistical reg</w:t>
      </w:r>
      <w:r w:rsidRPr="003767F4">
        <w:t xml:space="preserve">isters and by using the </w:t>
      </w:r>
      <w:r w:rsidR="003A036A">
        <w:t xml:space="preserve">enterprise </w:t>
      </w:r>
      <w:r w:rsidR="00353DCE">
        <w:t>ID-number</w:t>
      </w:r>
      <w:r w:rsidRPr="00353DCE">
        <w:t xml:space="preserve"> as matching variable, the required data for a given project can be extracted in a flexible and cost-efficient way, see section 4</w:t>
      </w:r>
    </w:p>
    <w:p w14:paraId="4D738132" w14:textId="77777777" w:rsidR="00B601BE" w:rsidRPr="00581AAC" w:rsidRDefault="00B601BE" w:rsidP="00B601BE">
      <w:pPr>
        <w:rPr>
          <w:b/>
        </w:rPr>
      </w:pPr>
      <w:r w:rsidRPr="00581AAC">
        <w:rPr>
          <w:b/>
        </w:rPr>
        <w:t xml:space="preserve">Figure 2: Organisation of the Nordic </w:t>
      </w:r>
      <w:r w:rsidR="00581AAC">
        <w:rPr>
          <w:b/>
        </w:rPr>
        <w:t>micro-</w:t>
      </w:r>
      <w:r w:rsidRPr="00581AAC">
        <w:rPr>
          <w:b/>
        </w:rPr>
        <w:t>data linking (MDL) projects</w:t>
      </w:r>
    </w:p>
    <w:p w14:paraId="63304290" w14:textId="77777777" w:rsidR="00B601BE" w:rsidRPr="00353DCE" w:rsidRDefault="005046B7" w:rsidP="00B601BE">
      <w:pPr>
        <w:tabs>
          <w:tab w:val="left" w:pos="567"/>
        </w:tabs>
        <w:spacing w:line="240" w:lineRule="auto"/>
        <w:rPr>
          <w:rFonts w:ascii="Times New Roman" w:eastAsia="Times New Roman" w:hAnsi="Times New Roman" w:cs="Times New Roman"/>
          <w:lang w:eastAsia="nl-NL"/>
        </w:rPr>
      </w:pPr>
      <w:r w:rsidRPr="00353DCE">
        <w:rPr>
          <w:rFonts w:ascii="Times New Roman" w:eastAsia="Times New Roman" w:hAnsi="Times New Roman" w:cs="Times New Roman"/>
          <w:noProof/>
          <w:lang w:val="da-DK" w:eastAsia="da-DK"/>
        </w:rPr>
        <w:drawing>
          <wp:inline distT="0" distB="0" distL="0" distR="0" wp14:anchorId="2900417F" wp14:editId="09DD7EFB">
            <wp:extent cx="5480685" cy="3785870"/>
            <wp:effectExtent l="0" t="0" r="5715" b="508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685" cy="3785870"/>
                    </a:xfrm>
                    <a:prstGeom prst="rect">
                      <a:avLst/>
                    </a:prstGeom>
                    <a:noFill/>
                  </pic:spPr>
                </pic:pic>
              </a:graphicData>
            </a:graphic>
          </wp:inline>
        </w:drawing>
      </w:r>
    </w:p>
    <w:p w14:paraId="4D7681A0" w14:textId="77777777" w:rsidR="00B601BE" w:rsidRPr="003A4BCD" w:rsidRDefault="00B601BE" w:rsidP="00B601BE">
      <w:pPr>
        <w:tabs>
          <w:tab w:val="left" w:pos="567"/>
        </w:tabs>
        <w:spacing w:line="240" w:lineRule="auto"/>
        <w:rPr>
          <w:rFonts w:ascii="Times New Roman" w:eastAsia="Times New Roman" w:hAnsi="Times New Roman" w:cs="Times New Roman"/>
          <w:lang w:eastAsia="nl-NL"/>
        </w:rPr>
      </w:pPr>
    </w:p>
    <w:p w14:paraId="5657C5DE" w14:textId="5B6B4B30" w:rsidR="000C07C8" w:rsidRPr="00BC7A4B" w:rsidRDefault="000C07C8" w:rsidP="000C07C8">
      <w:r w:rsidRPr="003A4BCD">
        <w:t xml:space="preserve">A typical </w:t>
      </w:r>
      <w:r w:rsidRPr="000F2678">
        <w:t>internationally co-ordinated micro</w:t>
      </w:r>
      <w:r w:rsidR="00581AAC">
        <w:t>-</w:t>
      </w:r>
      <w:r w:rsidRPr="00581AAC">
        <w:t xml:space="preserve">data linking project is </w:t>
      </w:r>
      <w:r w:rsidR="00061786">
        <w:t xml:space="preserve">typically </w:t>
      </w:r>
      <w:r w:rsidRPr="00581AAC">
        <w:t xml:space="preserve">carried out in three separate phases. The first phase involves the construction of the linked </w:t>
      </w:r>
      <w:r w:rsidR="00061786">
        <w:t>micro-dataset</w:t>
      </w:r>
      <w:r w:rsidRPr="00581AAC">
        <w:t>. The project coordinators produce standardised guidelines explain</w:t>
      </w:r>
      <w:r w:rsidRPr="003A4BCD">
        <w:t>ing in detail how the datasets in each participating country are to be structured and provide a common code to ensure that identical tables are produced by</w:t>
      </w:r>
      <w:r w:rsidRPr="000F2678">
        <w:t xml:space="preserve"> all participating NSIs. Each NSI records information from all the data sources used in the project i</w:t>
      </w:r>
      <w:r w:rsidRPr="00FB2E42">
        <w:t xml:space="preserve">nto its own national database. These linked </w:t>
      </w:r>
      <w:r w:rsidR="00061786">
        <w:t>micro-dataset</w:t>
      </w:r>
      <w:r w:rsidRPr="00FB2E42">
        <w:t xml:space="preserve">s are stored locally at the national statistical institutes </w:t>
      </w:r>
      <w:r w:rsidR="00B766D5">
        <w:t xml:space="preserve">and </w:t>
      </w:r>
      <w:r w:rsidRPr="00FB2E42">
        <w:t>are not shared with users outside the national statistical institute.</w:t>
      </w:r>
    </w:p>
    <w:p w14:paraId="004EC153" w14:textId="77777777" w:rsidR="000C07C8" w:rsidRPr="003A4BCD" w:rsidRDefault="000C07C8" w:rsidP="000C07C8">
      <w:r w:rsidRPr="00BC7A4B">
        <w:t xml:space="preserve">In the second phase of the project, the dataset is tested for consistency. Although each dataset being used in the project has already </w:t>
      </w:r>
      <w:r w:rsidRPr="00353DCE">
        <w:t>been carefully edited as part of the on-going production of business statistics, it is necessary to carry out further checks</w:t>
      </w:r>
      <w:r w:rsidR="003A036A">
        <w:t>. This is</w:t>
      </w:r>
      <w:r w:rsidR="00C96992">
        <w:t>,</w:t>
      </w:r>
      <w:r w:rsidR="003A036A">
        <w:t xml:space="preserve"> for instance</w:t>
      </w:r>
      <w:r w:rsidR="00C96992">
        <w:t>,</w:t>
      </w:r>
      <w:r w:rsidR="003A036A">
        <w:t xml:space="preserve"> done</w:t>
      </w:r>
      <w:r w:rsidRPr="003A036A">
        <w:t xml:space="preserve"> to ensure that enterprises are represented by the same </w:t>
      </w:r>
      <w:r w:rsidR="00353DCE">
        <w:t>ID-</w:t>
      </w:r>
      <w:r w:rsidRPr="00353DCE">
        <w:t>number across different datasets and over time, as the reporting units used for specific enterprises with a complex organisational structure can, and often do, differ across the data sources in each project. Tests used in this phase of the projects are devised b</w:t>
      </w:r>
      <w:r w:rsidRPr="003A4BCD">
        <w:t xml:space="preserve">y the project coordinators and implemented locally by the national statistical institutes. </w:t>
      </w:r>
    </w:p>
    <w:p w14:paraId="685B414D" w14:textId="77777777" w:rsidR="000C07C8" w:rsidRPr="00BC7A4B" w:rsidRDefault="000C07C8" w:rsidP="000C07C8">
      <w:r w:rsidRPr="000F2678">
        <w:t>In the third phase of the project standardised statistical output is created in each country to be used as input for descriptive analysis, see section 4 for example</w:t>
      </w:r>
      <w:r w:rsidRPr="00BC7A4B">
        <w:t xml:space="preserve">s. </w:t>
      </w:r>
    </w:p>
    <w:p w14:paraId="0FE51100" w14:textId="77777777" w:rsidR="00B601BE" w:rsidRPr="00353DCE" w:rsidRDefault="00B601BE" w:rsidP="00B601BE">
      <w:pPr>
        <w:keepNext/>
        <w:keepLines/>
        <w:numPr>
          <w:ilvl w:val="0"/>
          <w:numId w:val="4"/>
        </w:numPr>
        <w:spacing w:before="360"/>
        <w:outlineLvl w:val="1"/>
        <w:rPr>
          <w:rFonts w:eastAsiaTheme="majorEastAsia" w:cstheme="majorBidi"/>
          <w:b/>
          <w:szCs w:val="26"/>
        </w:rPr>
      </w:pPr>
      <w:r w:rsidRPr="00353DCE">
        <w:rPr>
          <w:rFonts w:eastAsiaTheme="majorEastAsia" w:cstheme="majorBidi"/>
          <w:b/>
          <w:szCs w:val="26"/>
        </w:rPr>
        <w:t>Centrally scripted</w:t>
      </w:r>
      <w:r w:rsidR="00C96992">
        <w:rPr>
          <w:rFonts w:eastAsiaTheme="majorEastAsia" w:cstheme="majorBidi"/>
          <w:b/>
          <w:szCs w:val="26"/>
        </w:rPr>
        <w:t>,</w:t>
      </w:r>
      <w:r w:rsidRPr="00353DCE">
        <w:rPr>
          <w:rFonts w:eastAsiaTheme="majorEastAsia" w:cstheme="majorBidi"/>
          <w:b/>
          <w:szCs w:val="26"/>
        </w:rPr>
        <w:t xml:space="preserve"> centrally corrected</w:t>
      </w:r>
      <w:r w:rsidR="00C96992">
        <w:rPr>
          <w:rFonts w:eastAsiaTheme="majorEastAsia" w:cstheme="majorBidi"/>
          <w:b/>
          <w:szCs w:val="26"/>
        </w:rPr>
        <w:t xml:space="preserve"> </w:t>
      </w:r>
      <w:r w:rsidR="00C96992" w:rsidRPr="00353DCE">
        <w:rPr>
          <w:rFonts w:eastAsiaTheme="majorEastAsia" w:cstheme="majorBidi"/>
          <w:b/>
          <w:szCs w:val="26"/>
        </w:rPr>
        <w:t>syntax</w:t>
      </w:r>
    </w:p>
    <w:p w14:paraId="61C9EFAF" w14:textId="77777777" w:rsidR="000C07C8" w:rsidRPr="00696701" w:rsidRDefault="000C07C8" w:rsidP="000C07C8">
      <w:r w:rsidRPr="00353DCE">
        <w:t>While harmonised databases in the Nordic NSIs are the foundation of each of the outputs presented in the following section of the paper, coherent and comparative results have only come to be</w:t>
      </w:r>
      <w:r w:rsidR="003A036A">
        <w:t>,</w:t>
      </w:r>
      <w:r w:rsidRPr="003A036A">
        <w:t xml:space="preserve"> as a result of centrally scripted SAS syntaxes. By centrally scripted we mean code that have been produced at one of the NSIs. This is done to ensure that the already aligned </w:t>
      </w:r>
      <w:r w:rsidR="00696701">
        <w:t>MDL</w:t>
      </w:r>
      <w:r w:rsidR="00696701" w:rsidRPr="003A036A">
        <w:t xml:space="preserve"> </w:t>
      </w:r>
      <w:r w:rsidRPr="003A036A">
        <w:t>data in each NSI is handled in the same way. Thus, circumventing the p</w:t>
      </w:r>
      <w:r w:rsidRPr="00696701">
        <w:t xml:space="preserve">ossibilities of 1) different code traditions 2) different ideas of concepts and 3) coding errors hampering the effectiveness and comparability of outputs. </w:t>
      </w:r>
      <w:r w:rsidR="00696701">
        <w:t xml:space="preserve">It also underscores </w:t>
      </w:r>
      <w:r w:rsidRPr="00696701">
        <w:t xml:space="preserve">the fact that a micro-data linking project </w:t>
      </w:r>
      <w:r w:rsidR="00696701">
        <w:t xml:space="preserve">across countries </w:t>
      </w:r>
      <w:r w:rsidRPr="00696701">
        <w:t>does not have to include sharing of individual micro-data, as the centralised scripts are distributed and run locally</w:t>
      </w:r>
      <w:r w:rsidR="00696701">
        <w:t>,</w:t>
      </w:r>
      <w:r w:rsidRPr="00696701">
        <w:t xml:space="preserve"> with predefined </w:t>
      </w:r>
      <w:r w:rsidR="00696701">
        <w:t xml:space="preserve">and harmonised </w:t>
      </w:r>
      <w:r w:rsidRPr="00696701">
        <w:t xml:space="preserve">tabular outcome as </w:t>
      </w:r>
      <w:r w:rsidR="00696701">
        <w:t xml:space="preserve">a </w:t>
      </w:r>
      <w:r w:rsidRPr="00696701">
        <w:t xml:space="preserve">result. </w:t>
      </w:r>
      <w:r w:rsidR="00696701">
        <w:t xml:space="preserve">For the sake of </w:t>
      </w:r>
      <w:r w:rsidR="0008759E">
        <w:t>conceptual</w:t>
      </w:r>
      <w:r w:rsidR="00696701">
        <w:t xml:space="preserve"> cleanness</w:t>
      </w:r>
      <w:r w:rsidR="00C96992">
        <w:t>, we recommend using at least</w:t>
      </w:r>
      <w:r w:rsidR="00696701">
        <w:t xml:space="preserve"> two programs in the </w:t>
      </w:r>
      <w:r w:rsidR="00696701" w:rsidRPr="003A036A">
        <w:t>centrally scripted SAS syntaxes</w:t>
      </w:r>
      <w:r w:rsidR="00696701">
        <w:t xml:space="preserve"> approach. </w:t>
      </w:r>
      <w:r w:rsidR="0008759E">
        <w:t xml:space="preserve">Program one is used for </w:t>
      </w:r>
      <w:r w:rsidR="00696701">
        <w:t>alig</w:t>
      </w:r>
      <w:r w:rsidR="00BA4F78">
        <w:t xml:space="preserve">ning and preparing of </w:t>
      </w:r>
      <w:r w:rsidR="00247CD3">
        <w:t xml:space="preserve">base </w:t>
      </w:r>
      <w:r w:rsidR="00BA4F78">
        <w:t>data</w:t>
      </w:r>
      <w:r w:rsidR="0008759E">
        <w:t>. Program two</w:t>
      </w:r>
      <w:r w:rsidR="00BA4F78">
        <w:t xml:space="preserve"> </w:t>
      </w:r>
      <w:r w:rsidR="0008759E">
        <w:t>is used for the</w:t>
      </w:r>
      <w:r w:rsidR="00696701">
        <w:t xml:space="preserve"> </w:t>
      </w:r>
      <w:r w:rsidR="00BA4F78">
        <w:t xml:space="preserve">production of </w:t>
      </w:r>
      <w:r w:rsidR="00696701">
        <w:t>common output</w:t>
      </w:r>
      <w:r w:rsidR="00C96992">
        <w:t xml:space="preserve"> from base data</w:t>
      </w:r>
      <w:r w:rsidR="00696701">
        <w:t xml:space="preserve">. </w:t>
      </w:r>
    </w:p>
    <w:p w14:paraId="1AFCFFBE" w14:textId="77777777" w:rsidR="000C07C8" w:rsidRPr="00353DCE" w:rsidRDefault="000C07C8" w:rsidP="000C07C8">
      <w:r w:rsidRPr="00BC7A4B">
        <w:t xml:space="preserve">The above does perhaps seem a bit </w:t>
      </w:r>
      <w:r w:rsidR="00C96992">
        <w:t>simplified,</w:t>
      </w:r>
      <w:r w:rsidRPr="00BC7A4B">
        <w:t xml:space="preserve"> and that is because it is. A centrally scripted syntax </w:t>
      </w:r>
      <w:r w:rsidRPr="00353DCE">
        <w:t>does not just come to be. What follows is a short walkthrough of the steps taken by the NSIs to ensure common goal are met and that all NSIs are included in the building process. The output is produced in three steps:</w:t>
      </w:r>
    </w:p>
    <w:p w14:paraId="76EBD677" w14:textId="77777777" w:rsidR="000C07C8" w:rsidRPr="00353DCE" w:rsidRDefault="000C07C8" w:rsidP="000C07C8">
      <w:pPr>
        <w:pStyle w:val="Listeafsnit"/>
        <w:numPr>
          <w:ilvl w:val="0"/>
          <w:numId w:val="9"/>
        </w:numPr>
      </w:pPr>
      <w:r w:rsidRPr="00353DCE">
        <w:t xml:space="preserve">Making the (draft) syntax simple enough to do the job intended. While a complex and compact syntax can be a thing of beauty, they are seldom easy to understand, review and mend by others. </w:t>
      </w:r>
    </w:p>
    <w:p w14:paraId="508F8725" w14:textId="77777777" w:rsidR="000C07C8" w:rsidRPr="00696701" w:rsidRDefault="000C07C8" w:rsidP="000C07C8">
      <w:pPr>
        <w:pStyle w:val="Listeafsnit"/>
        <w:numPr>
          <w:ilvl w:val="0"/>
          <w:numId w:val="9"/>
        </w:numPr>
      </w:pPr>
      <w:r w:rsidRPr="00353DCE">
        <w:t xml:space="preserve">Do not assume that people can read your mind. Much frustration in syntax collaboration </w:t>
      </w:r>
      <w:r w:rsidR="00C96992">
        <w:t>can</w:t>
      </w:r>
      <w:r w:rsidR="00C96992" w:rsidRPr="00353DCE">
        <w:t xml:space="preserve"> </w:t>
      </w:r>
      <w:r w:rsidRPr="00353DCE">
        <w:t>be avoided if the syntax starts by carefully stating the different steps, as well as the conditions and definitions that needs to be met for it to work. In the same regard, each new snip of code is most transparent when it is accompanied by a small text that outlines its purpose.</w:t>
      </w:r>
      <w:r w:rsidR="00696701">
        <w:t xml:space="preserve"> </w:t>
      </w:r>
    </w:p>
    <w:p w14:paraId="2D407048" w14:textId="77777777" w:rsidR="000C07C8" w:rsidRPr="00353DCE" w:rsidRDefault="000C07C8" w:rsidP="000C07C8">
      <w:pPr>
        <w:pStyle w:val="Listeafsnit"/>
        <w:numPr>
          <w:ilvl w:val="0"/>
          <w:numId w:val="9"/>
        </w:numPr>
      </w:pPr>
      <w:r w:rsidRPr="00BC7A4B">
        <w:t xml:space="preserve">When the centrally scripted syntax it ready for </w:t>
      </w:r>
      <w:r w:rsidR="00C96992">
        <w:t xml:space="preserve">testing </w:t>
      </w:r>
      <w:r w:rsidRPr="00BC7A4B">
        <w:t>it is distributed to the other NSIs for review and performance. The review goes through three mai</w:t>
      </w:r>
      <w:r w:rsidRPr="00353DCE">
        <w:t>n questions:</w:t>
      </w:r>
    </w:p>
    <w:p w14:paraId="1C204BD5" w14:textId="77777777" w:rsidR="000C07C8" w:rsidRPr="00353DCE" w:rsidRDefault="000C07C8" w:rsidP="000C07C8">
      <w:pPr>
        <w:pStyle w:val="Listeafsnit"/>
        <w:numPr>
          <w:ilvl w:val="1"/>
          <w:numId w:val="9"/>
        </w:numPr>
      </w:pPr>
      <w:r w:rsidRPr="00353DCE">
        <w:t xml:space="preserve"> Can the syntax run locally without errors occurring?</w:t>
      </w:r>
    </w:p>
    <w:p w14:paraId="1E09DD68" w14:textId="77777777" w:rsidR="000C07C8" w:rsidRPr="00353DCE" w:rsidRDefault="000C07C8" w:rsidP="000C07C8">
      <w:pPr>
        <w:pStyle w:val="Listeafsnit"/>
        <w:numPr>
          <w:ilvl w:val="1"/>
          <w:numId w:val="9"/>
        </w:numPr>
      </w:pPr>
      <w:r w:rsidRPr="00353DCE">
        <w:t xml:space="preserve"> Is it logically and theoretically correct?</w:t>
      </w:r>
    </w:p>
    <w:p w14:paraId="7B7FAD01" w14:textId="77777777" w:rsidR="00353DCE" w:rsidRDefault="000C07C8" w:rsidP="000C07C8">
      <w:pPr>
        <w:pStyle w:val="Listeafsnit"/>
        <w:numPr>
          <w:ilvl w:val="1"/>
          <w:numId w:val="9"/>
        </w:numPr>
      </w:pPr>
      <w:r w:rsidRPr="00353DCE">
        <w:t xml:space="preserve"> Does it deliver the agreed output? </w:t>
      </w:r>
    </w:p>
    <w:p w14:paraId="6C1CF17A" w14:textId="77777777" w:rsidR="000C07C8" w:rsidRPr="00353DCE" w:rsidRDefault="000C07C8" w:rsidP="00283E9A">
      <w:r w:rsidRPr="00353DCE">
        <w:t xml:space="preserve">Depending on how the </w:t>
      </w:r>
      <w:r w:rsidR="00C96992">
        <w:t xml:space="preserve">specific </w:t>
      </w:r>
      <w:r w:rsidRPr="00353DCE">
        <w:t>review process plays out, the central mending of the syntax can go through a number of corrections</w:t>
      </w:r>
      <w:r w:rsidR="00353DCE">
        <w:t xml:space="preserve">. </w:t>
      </w:r>
      <w:r w:rsidR="00C92747">
        <w:t xml:space="preserve">Often one would do well to place </w:t>
      </w:r>
      <w:r w:rsidR="0008759E">
        <w:t>a face-to-face meeting</w:t>
      </w:r>
      <w:r w:rsidR="00C92747">
        <w:t xml:space="preserve"> in the latter part of this process to iron out practical and more </w:t>
      </w:r>
      <w:r w:rsidR="0008759E">
        <w:t>conceptual</w:t>
      </w:r>
      <w:r w:rsidR="00C92747">
        <w:t xml:space="preserve"> issues discovered in the review of the syntax. Afterwards the syntax </w:t>
      </w:r>
      <w:r w:rsidRPr="00353DCE">
        <w:t>can be considered mature and ready to produce publishable results locally</w:t>
      </w:r>
      <w:r w:rsidR="00C96992">
        <w:t>,</w:t>
      </w:r>
      <w:r w:rsidR="00C92747">
        <w:t xml:space="preserve"> aimed at </w:t>
      </w:r>
      <w:r w:rsidR="00C96992">
        <w:t xml:space="preserve">answering </w:t>
      </w:r>
      <w:r w:rsidR="00C92747">
        <w:t>the common goal</w:t>
      </w:r>
      <w:r w:rsidRPr="00353DCE">
        <w:t xml:space="preserve">.  </w:t>
      </w:r>
    </w:p>
    <w:p w14:paraId="2D68C7BD" w14:textId="77777777" w:rsidR="00B601BE" w:rsidRPr="00353DCE" w:rsidRDefault="00B601BE" w:rsidP="00B601BE">
      <w:pPr>
        <w:keepNext/>
        <w:keepLines/>
        <w:numPr>
          <w:ilvl w:val="0"/>
          <w:numId w:val="4"/>
        </w:numPr>
        <w:spacing w:before="360"/>
        <w:outlineLvl w:val="1"/>
        <w:rPr>
          <w:rFonts w:eastAsiaTheme="majorEastAsia" w:cstheme="majorBidi"/>
          <w:b/>
          <w:szCs w:val="26"/>
        </w:rPr>
      </w:pPr>
      <w:r w:rsidRPr="00353DCE">
        <w:rPr>
          <w:rFonts w:eastAsiaTheme="majorEastAsia" w:cstheme="majorBidi"/>
          <w:b/>
          <w:szCs w:val="26"/>
        </w:rPr>
        <w:t xml:space="preserve">Statistical output </w:t>
      </w:r>
    </w:p>
    <w:p w14:paraId="27C35F39" w14:textId="77777777" w:rsidR="000C07C8" w:rsidRPr="003A4BCD" w:rsidRDefault="000C07C8" w:rsidP="000C07C8">
      <w:r w:rsidRPr="003A4BCD">
        <w:t xml:space="preserve">The MDL approach has proven to be a successful analytical strategy in the development of statistical information on </w:t>
      </w:r>
      <w:r w:rsidR="009D44B0">
        <w:t>enterprise</w:t>
      </w:r>
      <w:r w:rsidRPr="009D44B0">
        <w:t>s’ development</w:t>
      </w:r>
      <w:r w:rsidR="00C92747">
        <w:t>,</w:t>
      </w:r>
      <w:r w:rsidRPr="009D44B0">
        <w:t xml:space="preserve"> contribution to growth and their organisation of and integration into global value chains (GVCs). MDL serves as</w:t>
      </w:r>
      <w:r w:rsidRPr="003A4BCD">
        <w:t xml:space="preserve"> an appropriate method to analyse the current most addressed research questions on:</w:t>
      </w:r>
    </w:p>
    <w:p w14:paraId="0D28E514" w14:textId="77777777" w:rsidR="000C07C8" w:rsidRPr="003A4BCD" w:rsidRDefault="009D44B0" w:rsidP="000C07C8">
      <w:pPr>
        <w:numPr>
          <w:ilvl w:val="0"/>
          <w:numId w:val="7"/>
        </w:numPr>
        <w:contextualSpacing/>
      </w:pPr>
      <w:r>
        <w:rPr>
          <w:u w:val="single"/>
        </w:rPr>
        <w:t>enterprise</w:t>
      </w:r>
      <w:r w:rsidR="000C07C8" w:rsidRPr="009D44B0">
        <w:rPr>
          <w:u w:val="single"/>
        </w:rPr>
        <w:t xml:space="preserve"> heterogeneity</w:t>
      </w:r>
      <w:r w:rsidR="000C07C8" w:rsidRPr="009D44B0">
        <w:t xml:space="preserve">  asking ‘how are different types of enterprises contribute to the growth in the domestic economy’ ; and</w:t>
      </w:r>
    </w:p>
    <w:p w14:paraId="74E8DBCC" w14:textId="77777777" w:rsidR="000C07C8" w:rsidRPr="000F2678" w:rsidRDefault="000C07C8" w:rsidP="000C07C8">
      <w:pPr>
        <w:numPr>
          <w:ilvl w:val="0"/>
          <w:numId w:val="7"/>
        </w:numPr>
        <w:contextualSpacing/>
      </w:pPr>
      <w:r w:rsidRPr="003A4BCD">
        <w:rPr>
          <w:u w:val="single"/>
        </w:rPr>
        <w:t>cross border activities</w:t>
      </w:r>
      <w:r w:rsidRPr="000F2678">
        <w:t xml:space="preserve"> asking ‘what kind of enterprises are trading’ instead of ‘what do countries trade’, and how the global value chains are organised in term of “what parts of the business organisation move up or down the value chain’</w:t>
      </w:r>
    </w:p>
    <w:p w14:paraId="24450F68" w14:textId="5DE0747D" w:rsidR="000C07C8" w:rsidRPr="003A4BCD" w:rsidRDefault="000C07C8" w:rsidP="000C07C8">
      <w:r w:rsidRPr="002A24C1">
        <w:t xml:space="preserve">The Nordic NSIs have been the first to develop a bottom-up, collaborative response to the increased policy questions regarding globalisation, building on national data sources at the micro-level. By linking the data sources at enterprise level it is possible to reflect </w:t>
      </w:r>
      <w:r w:rsidR="009D44B0">
        <w:t>enterprise</w:t>
      </w:r>
      <w:r w:rsidRPr="009D44B0">
        <w:t xml:space="preserve"> heterogeneity by identifying not only enterprises by employment size and trading activity (trader/non-trader)</w:t>
      </w:r>
      <w:r w:rsidR="00C92747">
        <w:t xml:space="preserve">. MDL have especially added value by integrating information on </w:t>
      </w:r>
      <w:r w:rsidRPr="009D44B0">
        <w:t xml:space="preserve">group status (independent/belonging to an enterprise group) or by nationality of ownership (domestic/foreign owned) or any combination of these </w:t>
      </w:r>
      <w:r w:rsidR="009D44B0">
        <w:t>enterprise</w:t>
      </w:r>
      <w:r w:rsidRPr="009D44B0">
        <w:t xml:space="preserve"> characteristics. In the foll</w:t>
      </w:r>
      <w:r w:rsidRPr="003A4BCD">
        <w:t xml:space="preserve">owing, we present </w:t>
      </w:r>
      <w:r w:rsidR="00C92747">
        <w:t xml:space="preserve">selected </w:t>
      </w:r>
      <w:r w:rsidRPr="003A4BCD">
        <w:t>output from different Nordic projects</w:t>
      </w:r>
      <w:r w:rsidR="00C92747">
        <w:t xml:space="preserve">, where </w:t>
      </w:r>
      <w:r w:rsidRPr="003A4BCD">
        <w:t>distributed micro-data linking method</w:t>
      </w:r>
      <w:r w:rsidR="00C92747">
        <w:t xml:space="preserve"> has been </w:t>
      </w:r>
      <w:r w:rsidR="00B766D5">
        <w:t xml:space="preserve">the </w:t>
      </w:r>
      <w:r w:rsidR="00C92747">
        <w:t>core</w:t>
      </w:r>
      <w:r w:rsidR="00B766D5">
        <w:t xml:space="preserve"> approach</w:t>
      </w:r>
      <w:r w:rsidRPr="003A4BCD">
        <w:t xml:space="preserve">. </w:t>
      </w:r>
    </w:p>
    <w:p w14:paraId="086CCAA6" w14:textId="77777777" w:rsidR="00254F0E" w:rsidRPr="000F2678" w:rsidRDefault="00254F0E" w:rsidP="00B601BE"/>
    <w:p w14:paraId="50A6E8D1" w14:textId="77777777" w:rsidR="009174BC" w:rsidRPr="009D44B0" w:rsidRDefault="00D00224" w:rsidP="00D00224">
      <w:pPr>
        <w:rPr>
          <w:b/>
        </w:rPr>
      </w:pPr>
      <w:r w:rsidRPr="00696701">
        <w:rPr>
          <w:b/>
        </w:rPr>
        <w:t xml:space="preserve">Figure 3: </w:t>
      </w:r>
      <w:r w:rsidR="009D44B0">
        <w:rPr>
          <w:b/>
        </w:rPr>
        <w:t>Enterprise</w:t>
      </w:r>
      <w:r w:rsidR="009174BC" w:rsidRPr="009D44B0">
        <w:rPr>
          <w:b/>
        </w:rPr>
        <w:t xml:space="preserve"> heterogeneity: Key enterprise attributes for international orientation of enterprises</w:t>
      </w:r>
    </w:p>
    <w:p w14:paraId="2E3E81B4" w14:textId="77777777" w:rsidR="009174BC" w:rsidRPr="00353DCE" w:rsidRDefault="009174BC" w:rsidP="00D00224">
      <w:pPr>
        <w:rPr>
          <w:b/>
        </w:rPr>
      </w:pPr>
      <w:r w:rsidRPr="00581AAC">
        <w:rPr>
          <w:b/>
          <w:noProof/>
          <w:lang w:val="da-DK" w:eastAsia="da-DK"/>
        </w:rPr>
        <w:drawing>
          <wp:inline distT="0" distB="0" distL="0" distR="0" wp14:anchorId="115D0E7F" wp14:editId="3A01D12A">
            <wp:extent cx="5096510" cy="3767455"/>
            <wp:effectExtent l="0" t="0" r="8890"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6510" cy="3767455"/>
                    </a:xfrm>
                    <a:prstGeom prst="rect">
                      <a:avLst/>
                    </a:prstGeom>
                    <a:noFill/>
                  </pic:spPr>
                </pic:pic>
              </a:graphicData>
            </a:graphic>
          </wp:inline>
        </w:drawing>
      </w:r>
    </w:p>
    <w:p w14:paraId="2F029FD2" w14:textId="77777777" w:rsidR="00B601BE" w:rsidRPr="003A4BCD" w:rsidRDefault="00B601BE" w:rsidP="00B601BE">
      <w:pPr>
        <w:keepNext/>
        <w:keepLines/>
        <w:numPr>
          <w:ilvl w:val="2"/>
          <w:numId w:val="4"/>
        </w:numPr>
        <w:spacing w:before="360"/>
        <w:outlineLvl w:val="2"/>
        <w:rPr>
          <w:rFonts w:eastAsiaTheme="majorEastAsia" w:cstheme="majorBidi"/>
          <w:i/>
        </w:rPr>
      </w:pPr>
      <w:r w:rsidRPr="009D44B0">
        <w:rPr>
          <w:rFonts w:eastAsiaTheme="majorEastAsia" w:cstheme="majorBidi"/>
          <w:i/>
        </w:rPr>
        <w:t xml:space="preserve">When are </w:t>
      </w:r>
      <w:r w:rsidRPr="003767F4">
        <w:rPr>
          <w:rFonts w:eastAsiaTheme="majorEastAsia" w:cstheme="majorBidi"/>
          <w:i/>
        </w:rPr>
        <w:t>SMEs small or medium sized?</w:t>
      </w:r>
    </w:p>
    <w:p w14:paraId="12BA156E" w14:textId="77777777" w:rsidR="000C07C8" w:rsidRPr="00581AAC" w:rsidRDefault="000C07C8" w:rsidP="000C07C8">
      <w:pPr>
        <w:rPr>
          <w:rFonts w:ascii="Cambria" w:eastAsia="Times New Roman" w:hAnsi="Cambria" w:cs="Times New Roman"/>
          <w:sz w:val="21"/>
        </w:rPr>
      </w:pPr>
      <w:r w:rsidRPr="003A4BCD">
        <w:t xml:space="preserve">In the literature, </w:t>
      </w:r>
      <w:r w:rsidRPr="00581AAC">
        <w:t>Small and Medium sized Enterprises (SMEs) are described as a key drivers for economic growth and job creation (Birch,</w:t>
      </w:r>
      <w:r w:rsidR="00581AAC">
        <w:t xml:space="preserve"> </w:t>
      </w:r>
      <w:r w:rsidRPr="00581AAC">
        <w:t>1981). Influenced by this research, SMEs are also in focus for enterprise policy shaping combined with the assumption that SMEs have a huge and unexploited export potential</w:t>
      </w:r>
      <w:r w:rsidRPr="00353DCE">
        <w:rPr>
          <w:vertAlign w:val="superscript"/>
        </w:rPr>
        <w:footnoteReference w:id="2"/>
      </w:r>
      <w:r w:rsidR="00C96992">
        <w:t>.</w:t>
      </w:r>
      <w:r w:rsidRPr="00581AAC">
        <w:t xml:space="preserve"> The traditional way of identifying SMEs statistically is by the mere size of the enterprise. In a project for Nordic Council of Ministers, </w:t>
      </w:r>
      <w:r w:rsidR="00C92747">
        <w:t>the NSIs (</w:t>
      </w:r>
      <w:r w:rsidRPr="00581AAC">
        <w:t>Statistics Denmark et al.</w:t>
      </w:r>
      <w:r w:rsidR="00C92747">
        <w:t>,</w:t>
      </w:r>
      <w:r w:rsidRPr="00581AAC">
        <w:t xml:space="preserve"> 2014) have refined the traditional statistical definition of SMEs</w:t>
      </w:r>
      <w:r w:rsidR="00703CD4">
        <w:t xml:space="preserve">. The project moves on from </w:t>
      </w:r>
      <w:r w:rsidRPr="00581AAC">
        <w:t xml:space="preserve">only </w:t>
      </w:r>
      <w:r w:rsidR="00703CD4">
        <w:t xml:space="preserve">considering </w:t>
      </w:r>
      <w:r w:rsidRPr="00581AAC">
        <w:t xml:space="preserve">the employment size, i.e. enterprises with less than 250 persons employed, to also include information about </w:t>
      </w:r>
      <w:r w:rsidR="00703CD4">
        <w:t xml:space="preserve">group </w:t>
      </w:r>
      <w:r w:rsidRPr="00581AAC">
        <w:t xml:space="preserve">dependency and </w:t>
      </w:r>
      <w:r w:rsidR="00703CD4">
        <w:t xml:space="preserve">foreign </w:t>
      </w:r>
      <w:r w:rsidRPr="00581AAC">
        <w:t>ownership, see Box 2.</w:t>
      </w:r>
      <w:r w:rsidRPr="00353DCE">
        <w:rPr>
          <w:rFonts w:ascii="Cambria" w:eastAsia="Times New Roman" w:hAnsi="Cambria" w:cs="Times New Roman"/>
          <w:sz w:val="21"/>
        </w:rPr>
        <w:t xml:space="preserve"> </w:t>
      </w:r>
    </w:p>
    <w:p w14:paraId="07D4E426" w14:textId="77777777" w:rsidR="00B601BE" w:rsidRPr="003A4BCD" w:rsidRDefault="00B601BE" w:rsidP="00B601BE">
      <w:pPr>
        <w:spacing w:before="0" w:line="280" w:lineRule="atLeast"/>
        <w:ind w:firstLine="340"/>
        <w:rPr>
          <w:rFonts w:ascii="Cambria" w:eastAsia="Times New Roman" w:hAnsi="Cambria" w:cs="Times New Roman"/>
          <w:sz w:val="21"/>
        </w:rPr>
      </w:pPr>
    </w:p>
    <w:tbl>
      <w:tblPr>
        <w:tblW w:w="8845" w:type="dxa"/>
        <w:tblInd w:w="227" w:type="dxa"/>
        <w:shd w:val="clear" w:color="auto" w:fill="D0CECE" w:themeFill="background2" w:themeFillShade="E6"/>
        <w:tblLayout w:type="fixed"/>
        <w:tblCellMar>
          <w:top w:w="227" w:type="dxa"/>
          <w:left w:w="227" w:type="dxa"/>
          <w:bottom w:w="227" w:type="dxa"/>
          <w:right w:w="227" w:type="dxa"/>
        </w:tblCellMar>
        <w:tblLook w:val="01E0" w:firstRow="1" w:lastRow="1" w:firstColumn="1" w:lastColumn="1" w:noHBand="0" w:noVBand="0"/>
      </w:tblPr>
      <w:tblGrid>
        <w:gridCol w:w="8845"/>
      </w:tblGrid>
      <w:sdt>
        <w:sdtPr>
          <w:rPr>
            <w:rFonts w:eastAsia="Times New Roman"/>
            <w:b/>
            <w:sz w:val="20"/>
            <w:szCs w:val="20"/>
            <w:lang w:eastAsia="da-DK"/>
          </w:rPr>
          <w:alias w:val="axesPDF - Layout Table"/>
          <w:tag w:val="axesPDF:Table:TableLayoutTable"/>
          <w:id w:val="-1369835667"/>
        </w:sdtPr>
        <w:sdtEndPr>
          <w:rPr>
            <w:b w:val="0"/>
            <w:sz w:val="18"/>
          </w:rPr>
        </w:sdtEndPr>
        <w:sdtContent>
          <w:tr w:rsidR="00B601BE" w:rsidRPr="00581AAC" w14:paraId="71BE41B4" w14:textId="77777777" w:rsidTr="00D00224">
            <w:trPr>
              <w:trHeight w:val="567"/>
            </w:trPr>
            <w:tc>
              <w:tcPr>
                <w:tcW w:w="8845" w:type="dxa"/>
                <w:shd w:val="clear" w:color="auto" w:fill="D0CECE" w:themeFill="background2" w:themeFillShade="E6"/>
              </w:tcPr>
              <w:p w14:paraId="0D41285A" w14:textId="77777777" w:rsidR="00B601BE" w:rsidRPr="00581AAC" w:rsidRDefault="00B601BE" w:rsidP="00B601BE">
                <w:pPr>
                  <w:tabs>
                    <w:tab w:val="left" w:pos="284"/>
                  </w:tabs>
                  <w:spacing w:before="0" w:line="280" w:lineRule="atLeast"/>
                  <w:rPr>
                    <w:rFonts w:eastAsia="Times New Roman"/>
                    <w:sz w:val="18"/>
                    <w:szCs w:val="20"/>
                    <w:lang w:eastAsia="da-DK"/>
                  </w:rPr>
                </w:pPr>
                <w:r w:rsidRPr="00353DCE">
                  <w:rPr>
                    <w:rFonts w:eastAsia="Times New Roman"/>
                    <w:sz w:val="18"/>
                    <w:szCs w:val="20"/>
                    <w:lang w:eastAsia="da-DK"/>
                  </w:rPr>
                  <w:t xml:space="preserve">Enterprise group affiliation </w:t>
                </w:r>
              </w:p>
              <w:p w14:paraId="17B5AE0F" w14:textId="77777777" w:rsidR="00B601BE" w:rsidRPr="00581AAC" w:rsidRDefault="00B601BE" w:rsidP="00B601BE">
                <w:pPr>
                  <w:tabs>
                    <w:tab w:val="left" w:pos="284"/>
                  </w:tabs>
                  <w:spacing w:before="0" w:line="280" w:lineRule="atLeast"/>
                  <w:rPr>
                    <w:rFonts w:eastAsia="Times New Roman"/>
                    <w:color w:val="6F6D5C"/>
                    <w:sz w:val="18"/>
                    <w:szCs w:val="20"/>
                    <w:lang w:eastAsia="da-DK"/>
                  </w:rPr>
                </w:pPr>
                <w:r w:rsidRPr="00581AAC">
                  <w:rPr>
                    <w:rFonts w:eastAsia="Times New Roman"/>
                    <w:color w:val="6F6D5C"/>
                    <w:sz w:val="18"/>
                    <w:szCs w:val="20"/>
                    <w:lang w:eastAsia="da-DK"/>
                  </w:rPr>
                  <w:t xml:space="preserve">Enterprises are placed in two main categories, depending on whether the enterprises </w:t>
                </w:r>
                <w:r w:rsidR="002A24C1">
                  <w:rPr>
                    <w:rFonts w:eastAsia="Times New Roman"/>
                    <w:color w:val="6F6D5C"/>
                    <w:sz w:val="18"/>
                    <w:szCs w:val="20"/>
                    <w:lang w:eastAsia="da-DK"/>
                  </w:rPr>
                  <w:t>have</w:t>
                </w:r>
                <w:r w:rsidRPr="00581AAC">
                  <w:rPr>
                    <w:rFonts w:eastAsia="Times New Roman"/>
                    <w:color w:val="6F6D5C"/>
                    <w:sz w:val="18"/>
                    <w:szCs w:val="20"/>
                    <w:lang w:eastAsia="da-DK"/>
                  </w:rPr>
                  <w:t xml:space="preserve"> group affiliations with one or more enterprises or not. Based on this, the analysis distinguishes between two groups:</w:t>
                </w:r>
              </w:p>
              <w:p w14:paraId="63A1E916" w14:textId="77777777" w:rsidR="000C07C8" w:rsidRPr="00581AAC" w:rsidRDefault="000C07C8" w:rsidP="000C07C8">
                <w:pPr>
                  <w:tabs>
                    <w:tab w:val="left" w:pos="284"/>
                  </w:tabs>
                  <w:spacing w:before="0" w:line="280" w:lineRule="atLeast"/>
                  <w:rPr>
                    <w:rFonts w:eastAsia="Times New Roman"/>
                    <w:color w:val="6F6D5C"/>
                    <w:sz w:val="18"/>
                    <w:szCs w:val="20"/>
                    <w:lang w:eastAsia="da-DK"/>
                  </w:rPr>
                </w:pPr>
              </w:p>
              <w:p w14:paraId="5577CBCE" w14:textId="7C34D370" w:rsidR="000C07C8" w:rsidRPr="00581AAC" w:rsidRDefault="000C07C8" w:rsidP="000C07C8">
                <w:pPr>
                  <w:tabs>
                    <w:tab w:val="left" w:pos="284"/>
                  </w:tabs>
                  <w:spacing w:before="0" w:line="280" w:lineRule="atLeast"/>
                  <w:rPr>
                    <w:rFonts w:eastAsia="Times New Roman"/>
                    <w:i/>
                    <w:sz w:val="18"/>
                    <w:szCs w:val="20"/>
                    <w:lang w:eastAsia="da-DK"/>
                  </w:rPr>
                </w:pPr>
                <w:r w:rsidRPr="00581AAC">
                  <w:rPr>
                    <w:rFonts w:eastAsia="Times New Roman"/>
                    <w:sz w:val="18"/>
                    <w:szCs w:val="20"/>
                    <w:lang w:eastAsia="da-DK"/>
                  </w:rPr>
                  <w:t>Independent enterprises</w:t>
                </w:r>
                <w:r w:rsidRPr="00581AAC">
                  <w:rPr>
                    <w:rFonts w:eastAsia="Times New Roman"/>
                    <w:i/>
                    <w:sz w:val="18"/>
                    <w:szCs w:val="20"/>
                    <w:lang w:eastAsia="da-DK"/>
                  </w:rPr>
                  <w:t xml:space="preserve"> </w:t>
                </w:r>
                <w:r w:rsidRPr="00581AAC">
                  <w:rPr>
                    <w:rFonts w:eastAsia="Times New Roman"/>
                    <w:color w:val="6F6D5C"/>
                    <w:sz w:val="18"/>
                    <w:szCs w:val="20"/>
                    <w:lang w:eastAsia="da-DK"/>
                  </w:rPr>
                  <w:t xml:space="preserve">are not part of an enterprise group in the reporting country, e.g. in Denmark. The data sources do not contain information on ownership relations in other countries </w:t>
                </w:r>
                <w:r w:rsidR="00B766D5">
                  <w:rPr>
                    <w:rFonts w:eastAsia="Times New Roman"/>
                    <w:color w:val="6F6D5C"/>
                    <w:sz w:val="18"/>
                    <w:szCs w:val="20"/>
                    <w:lang w:eastAsia="da-DK"/>
                  </w:rPr>
                  <w:t>implying</w:t>
                </w:r>
                <w:r w:rsidRPr="00581AAC">
                  <w:rPr>
                    <w:rFonts w:eastAsia="Times New Roman"/>
                    <w:color w:val="6F6D5C"/>
                    <w:sz w:val="18"/>
                    <w:szCs w:val="20"/>
                    <w:lang w:eastAsia="da-DK"/>
                  </w:rPr>
                  <w:t xml:space="preserve"> that an affiliate of a foreign enterprise group will appear as an independent enterprise in this analysis, just as domestic group head which only has affiliates abroad will also appear as an independent enterprise here. </w:t>
                </w:r>
              </w:p>
              <w:p w14:paraId="6FD27D5E" w14:textId="77777777" w:rsidR="000C07C8" w:rsidRPr="00581AAC" w:rsidRDefault="000C07C8" w:rsidP="000C07C8">
                <w:pPr>
                  <w:tabs>
                    <w:tab w:val="left" w:pos="284"/>
                  </w:tabs>
                  <w:spacing w:before="0" w:line="280" w:lineRule="atLeast"/>
                  <w:rPr>
                    <w:rFonts w:eastAsia="Times New Roman"/>
                    <w:sz w:val="18"/>
                    <w:szCs w:val="20"/>
                    <w:lang w:eastAsia="da-DK"/>
                  </w:rPr>
                </w:pPr>
              </w:p>
              <w:p w14:paraId="79206FB0" w14:textId="77777777" w:rsidR="000C07C8" w:rsidRPr="00581AAC" w:rsidRDefault="000C07C8" w:rsidP="000C07C8">
                <w:pPr>
                  <w:tabs>
                    <w:tab w:val="left" w:pos="284"/>
                  </w:tabs>
                  <w:spacing w:before="0" w:line="280" w:lineRule="atLeast"/>
                  <w:rPr>
                    <w:rFonts w:eastAsia="Times New Roman"/>
                    <w:color w:val="6F6D5C"/>
                    <w:sz w:val="18"/>
                    <w:szCs w:val="20"/>
                    <w:lang w:eastAsia="da-DK"/>
                  </w:rPr>
                </w:pPr>
                <w:r w:rsidRPr="00581AAC">
                  <w:rPr>
                    <w:rFonts w:eastAsia="Times New Roman"/>
                    <w:sz w:val="18"/>
                    <w:szCs w:val="20"/>
                    <w:lang w:eastAsia="da-DK"/>
                  </w:rPr>
                  <w:t xml:space="preserve">Dependent enterprises </w:t>
                </w:r>
                <w:r w:rsidRPr="00581AAC">
                  <w:rPr>
                    <w:rFonts w:eastAsia="Times New Roman"/>
                    <w:color w:val="6F6D5C"/>
                    <w:sz w:val="18"/>
                    <w:szCs w:val="20"/>
                    <w:lang w:eastAsia="da-DK"/>
                  </w:rPr>
                  <w:t xml:space="preserve">are part of an enterprise group in the reporting country, e.g. in Denmark, being either an affiliate or a resident group head. </w:t>
                </w:r>
              </w:p>
              <w:p w14:paraId="6C69AC8B" w14:textId="77777777" w:rsidR="000C07C8" w:rsidRPr="00581AAC" w:rsidRDefault="000C07C8" w:rsidP="000C07C8">
                <w:pPr>
                  <w:tabs>
                    <w:tab w:val="left" w:pos="284"/>
                  </w:tabs>
                  <w:spacing w:before="0" w:line="280" w:lineRule="atLeast"/>
                  <w:rPr>
                    <w:rFonts w:eastAsia="Times New Roman"/>
                    <w:color w:val="6F6D5C"/>
                    <w:sz w:val="18"/>
                    <w:szCs w:val="20"/>
                    <w:lang w:eastAsia="da-DK"/>
                  </w:rPr>
                </w:pPr>
              </w:p>
              <w:p w14:paraId="2D0D4935" w14:textId="11A06554" w:rsidR="00B601BE" w:rsidRPr="00581AAC" w:rsidRDefault="000C07C8" w:rsidP="000C07C8">
                <w:pPr>
                  <w:tabs>
                    <w:tab w:val="left" w:pos="284"/>
                  </w:tabs>
                  <w:spacing w:before="0" w:line="280" w:lineRule="atLeast"/>
                  <w:rPr>
                    <w:rFonts w:ascii="Arial Narrow" w:eastAsia="Times New Roman" w:hAnsi="Arial Narrow"/>
                    <w:color w:val="6F6D5C"/>
                    <w:sz w:val="18"/>
                    <w:szCs w:val="20"/>
                    <w:lang w:eastAsia="da-DK"/>
                  </w:rPr>
                </w:pPr>
                <w:r w:rsidRPr="00581AAC">
                  <w:rPr>
                    <w:rFonts w:eastAsia="Times New Roman"/>
                    <w:color w:val="6F6D5C"/>
                    <w:sz w:val="18"/>
                    <w:szCs w:val="20"/>
                    <w:lang w:eastAsia="da-DK"/>
                  </w:rPr>
                  <w:t>Affiliation is determined on the basis of controlling influence, i.e. the control of 50 per cent of stocks/votes.</w:t>
                </w:r>
              </w:p>
            </w:tc>
          </w:tr>
        </w:sdtContent>
      </w:sdt>
    </w:tbl>
    <w:p w14:paraId="2AEB9339" w14:textId="77777777" w:rsidR="00B601BE" w:rsidRPr="00581AAC" w:rsidRDefault="00B601BE" w:rsidP="00B601BE">
      <w:pPr>
        <w:spacing w:before="0" w:line="280" w:lineRule="atLeast"/>
        <w:ind w:firstLine="340"/>
        <w:rPr>
          <w:rFonts w:ascii="Cambria" w:eastAsia="Times New Roman" w:hAnsi="Cambria" w:cs="Times New Roman"/>
          <w:sz w:val="21"/>
        </w:rPr>
      </w:pPr>
    </w:p>
    <w:p w14:paraId="2A7BBCDD" w14:textId="1EF5D004" w:rsidR="000C07C8" w:rsidRPr="003A4BCD" w:rsidRDefault="000C07C8" w:rsidP="000C07C8">
      <w:r w:rsidRPr="00353DCE">
        <w:t>Based on these two main categories, it is possible to separate the SMEs into two groups; the independent ones and the ones belonging to an enterprise group</w:t>
      </w:r>
      <w:r w:rsidR="00BC7A4B">
        <w:t xml:space="preserve"> and as such is a </w:t>
      </w:r>
      <w:r w:rsidRPr="00353DCE">
        <w:t>part of a larger organisation. Furthermore, it is useful to distinguish between those SMEs t</w:t>
      </w:r>
      <w:r w:rsidRPr="003A4BCD">
        <w:t>hat are part of a large enterprise group, i.e. the total employment of the group accounting to 250 or more employees</w:t>
      </w:r>
      <w:r w:rsidR="00B766D5">
        <w:t xml:space="preserve"> (measured in full-time equivalent number of employees (FTE))</w:t>
      </w:r>
      <w:r w:rsidRPr="003A4BCD">
        <w:t xml:space="preserve"> – and those that are part of a small group, i.e. the total employment of the group being less than 250 FTEs. The SMEs belonging to a small group would still be considered within the SME range. Figure 4 below shows how these categorisations combine into new analytical categories: </w:t>
      </w:r>
    </w:p>
    <w:p w14:paraId="680924E1" w14:textId="77777777" w:rsidR="000C07C8" w:rsidRPr="003A036A" w:rsidRDefault="000C07C8" w:rsidP="000C07C8">
      <w:pPr>
        <w:numPr>
          <w:ilvl w:val="0"/>
          <w:numId w:val="6"/>
        </w:numPr>
      </w:pPr>
      <w:r w:rsidRPr="000F2678">
        <w:t>Independent SMEs: SMEs that are not affiliated to a domestic group</w:t>
      </w:r>
    </w:p>
    <w:p w14:paraId="41D8A73A" w14:textId="77777777" w:rsidR="000C07C8" w:rsidRPr="00BC7A4B" w:rsidRDefault="000C07C8" w:rsidP="000C07C8">
      <w:pPr>
        <w:numPr>
          <w:ilvl w:val="0"/>
          <w:numId w:val="6"/>
        </w:numPr>
      </w:pPr>
      <w:r w:rsidRPr="00C92747">
        <w:t>Dependent SMEs: SMEs that are affiliated to other domestic enterprises, but where the employment in the domestic enterprise group is less than 250 FTEs</w:t>
      </w:r>
    </w:p>
    <w:p w14:paraId="2F942D98" w14:textId="77777777" w:rsidR="000C07C8" w:rsidRPr="00353DCE" w:rsidRDefault="000C07C8" w:rsidP="000C07C8">
      <w:pPr>
        <w:numPr>
          <w:ilvl w:val="0"/>
          <w:numId w:val="6"/>
        </w:numPr>
      </w:pPr>
      <w:r w:rsidRPr="00353DCE">
        <w:t>Large group SMEs: SMEs that are affiliated to other domestic enterprises, where the employment in the domestic enterprise group is at least 250 FTEs</w:t>
      </w:r>
    </w:p>
    <w:p w14:paraId="62A5EBAB" w14:textId="77777777" w:rsidR="000C07C8" w:rsidRPr="00353DCE" w:rsidRDefault="000C07C8" w:rsidP="000C07C8">
      <w:pPr>
        <w:numPr>
          <w:ilvl w:val="0"/>
          <w:numId w:val="6"/>
        </w:numPr>
      </w:pPr>
      <w:r w:rsidRPr="00353DCE">
        <w:t xml:space="preserve">Large enterprises: Large enterprises with employment of 250 FTEs or more are grouped together regardless of group affiliation. </w:t>
      </w:r>
    </w:p>
    <w:p w14:paraId="124EFBF4" w14:textId="77777777" w:rsidR="00145E53" w:rsidRPr="00353DCE" w:rsidRDefault="00145E53" w:rsidP="00B601BE">
      <w:pPr>
        <w:ind w:left="340"/>
      </w:pPr>
    </w:p>
    <w:p w14:paraId="7B248AA4" w14:textId="77777777" w:rsidR="00D00224" w:rsidRPr="00353DCE" w:rsidRDefault="00D00224" w:rsidP="00D00224">
      <w:pPr>
        <w:rPr>
          <w:b/>
        </w:rPr>
      </w:pPr>
      <w:r w:rsidRPr="00353DCE">
        <w:rPr>
          <w:b/>
        </w:rPr>
        <w:t xml:space="preserve">Figure 4: </w:t>
      </w:r>
      <w:r w:rsidR="007214D6" w:rsidRPr="00353DCE">
        <w:rPr>
          <w:b/>
        </w:rPr>
        <w:t>Analytical categories of enterprises</w:t>
      </w:r>
    </w:p>
    <w:p w14:paraId="43E7AEF6" w14:textId="77777777" w:rsidR="00B601BE" w:rsidRPr="00353DCE" w:rsidRDefault="00B601BE" w:rsidP="007214D6">
      <w:pPr>
        <w:spacing w:before="0" w:line="280" w:lineRule="atLeast"/>
        <w:rPr>
          <w:rFonts w:ascii="Cambria" w:eastAsia="Times New Roman" w:hAnsi="Cambria" w:cs="Times New Roman"/>
          <w:sz w:val="21"/>
        </w:rPr>
      </w:pPr>
    </w:p>
    <w:p w14:paraId="2A2FF719" w14:textId="77777777" w:rsidR="00360387" w:rsidRPr="00353DCE" w:rsidRDefault="00360387" w:rsidP="007214D6">
      <w:pPr>
        <w:spacing w:before="0" w:line="280" w:lineRule="atLeast"/>
        <w:rPr>
          <w:rFonts w:ascii="Cambria" w:eastAsia="Times New Roman" w:hAnsi="Cambria" w:cs="Times New Roman"/>
          <w:sz w:val="21"/>
        </w:rPr>
      </w:pPr>
      <w:r w:rsidRPr="00581AAC">
        <w:rPr>
          <w:rFonts w:eastAsia="Times New Roman"/>
          <w:noProof/>
          <w:sz w:val="18"/>
          <w:lang w:val="da-DK" w:eastAsia="da-DK"/>
        </w:rPr>
        <w:drawing>
          <wp:inline distT="0" distB="0" distL="0" distR="0" wp14:anchorId="72C2067B" wp14:editId="187F8ECD">
            <wp:extent cx="3908363" cy="3593805"/>
            <wp:effectExtent l="0" t="0" r="16510" b="260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D274ADC" w14:textId="77777777" w:rsidR="00360387" w:rsidRPr="003A4BCD" w:rsidRDefault="00360387" w:rsidP="007214D6">
      <w:pPr>
        <w:spacing w:before="0" w:line="280" w:lineRule="atLeast"/>
        <w:rPr>
          <w:rFonts w:ascii="Cambria" w:eastAsia="Times New Roman" w:hAnsi="Cambria" w:cs="Times New Roman"/>
          <w:sz w:val="21"/>
        </w:rPr>
      </w:pPr>
    </w:p>
    <w:p w14:paraId="376F860E" w14:textId="77777777" w:rsidR="000C07C8" w:rsidRPr="00BC7A4B" w:rsidRDefault="000C07C8" w:rsidP="000C07C8">
      <w:r w:rsidRPr="003A4BCD">
        <w:t xml:space="preserve">This new type of breakdown of SMEs by type of dependency shows very interesting results for policy shaping. Between half and two thirds of the total exports from SMEs in the Nordic countries can be attributed to SMEs belonging to large groups with more than 250 employees or to foreign groups. These SMEs could more rightly </w:t>
      </w:r>
      <w:r w:rsidRPr="000F2678">
        <w:t xml:space="preserve">be classified as large enterprises as they can be expected to benefit from different types of economies of scale. For instance, through easier access to finance, foreign markets or specific professional skills than independent SMEs, due to the affiliation </w:t>
      </w:r>
      <w:r w:rsidRPr="00BC7A4B">
        <w:t>with other enterprises within the group.</w:t>
      </w:r>
    </w:p>
    <w:p w14:paraId="4C76A066" w14:textId="77777777" w:rsidR="000C07C8" w:rsidRPr="00353DCE" w:rsidRDefault="000C07C8" w:rsidP="000C07C8">
      <w:r w:rsidRPr="00353DCE">
        <w:t xml:space="preserve">Building on these results, the importance of “true” SMEs for exports for the Nordic enterprises diminishes further as they only account for 26 per cent of total exports of goods in Denmark, 20 per cent in Norway, 12 per cent in Finland and Sweden. </w:t>
      </w:r>
    </w:p>
    <w:p w14:paraId="7DF456AC" w14:textId="77777777" w:rsidR="00D00224" w:rsidRPr="003A4BCD" w:rsidRDefault="00D00224" w:rsidP="00D00224">
      <w:pPr>
        <w:rPr>
          <w:b/>
        </w:rPr>
      </w:pPr>
      <w:r w:rsidRPr="00353DCE">
        <w:rPr>
          <w:b/>
        </w:rPr>
        <w:t xml:space="preserve">Figure </w:t>
      </w:r>
      <w:r w:rsidRPr="00581AAC">
        <w:rPr>
          <w:b/>
        </w:rPr>
        <w:t xml:space="preserve">5: </w:t>
      </w:r>
      <w:r w:rsidR="007214D6" w:rsidRPr="009D44B0">
        <w:rPr>
          <w:b/>
        </w:rPr>
        <w:t>Employment, gross value added and exports of goods. By size class-group affiliation status. 2014</w:t>
      </w:r>
    </w:p>
    <w:p w14:paraId="21ADFAB9" w14:textId="77777777" w:rsidR="00B601BE" w:rsidRPr="00353DCE" w:rsidRDefault="00D466B6" w:rsidP="00B601BE">
      <w:r w:rsidRPr="0031686B">
        <w:rPr>
          <w:noProof/>
          <w:lang w:val="da-DK" w:eastAsia="da-DK"/>
        </w:rPr>
        <w:drawing>
          <wp:inline distT="0" distB="0" distL="0" distR="0" wp14:anchorId="70961A86" wp14:editId="49846E88">
            <wp:extent cx="5589917" cy="2596515"/>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8881" w:type="dxa"/>
        <w:tblLayout w:type="fixed"/>
        <w:tblCellMar>
          <w:left w:w="0" w:type="dxa"/>
          <w:right w:w="0" w:type="dxa"/>
        </w:tblCellMar>
        <w:tblLook w:val="01E0" w:firstRow="1" w:lastRow="1" w:firstColumn="1" w:lastColumn="1" w:noHBand="0" w:noVBand="0"/>
      </w:tblPr>
      <w:tblGrid>
        <w:gridCol w:w="701"/>
        <w:gridCol w:w="8180"/>
      </w:tblGrid>
      <w:tr w:rsidR="00360387" w:rsidRPr="00353DCE" w14:paraId="3533FBDA" w14:textId="77777777" w:rsidTr="000C07C8">
        <w:trPr>
          <w:cantSplit/>
          <w:trHeight w:val="528"/>
        </w:trPr>
        <w:tc>
          <w:tcPr>
            <w:tcW w:w="701" w:type="dxa"/>
          </w:tcPr>
          <w:p w14:paraId="2A7856F6" w14:textId="77777777" w:rsidR="00360387" w:rsidRPr="003A4BCD" w:rsidRDefault="00360387" w:rsidP="002A24C1">
            <w:pPr>
              <w:tabs>
                <w:tab w:val="left" w:pos="340"/>
              </w:tabs>
              <w:spacing w:line="220" w:lineRule="atLeast"/>
              <w:jc w:val="left"/>
              <w:rPr>
                <w:rFonts w:eastAsia="Times New Roman"/>
                <w:sz w:val="16"/>
                <w:szCs w:val="15"/>
                <w:lang w:eastAsia="da-DK"/>
              </w:rPr>
            </w:pPr>
            <w:r w:rsidRPr="003A4BCD">
              <w:rPr>
                <w:rFonts w:eastAsia="Times New Roman"/>
                <w:sz w:val="16"/>
                <w:szCs w:val="15"/>
                <w:lang w:eastAsia="da-DK"/>
              </w:rPr>
              <w:t>Source:</w:t>
            </w:r>
          </w:p>
        </w:tc>
        <w:tc>
          <w:tcPr>
            <w:tcW w:w="8180" w:type="dxa"/>
          </w:tcPr>
          <w:p w14:paraId="65ACE758" w14:textId="77777777" w:rsidR="00360387" w:rsidRPr="000F2678" w:rsidRDefault="00360387" w:rsidP="002A24C1">
            <w:pPr>
              <w:tabs>
                <w:tab w:val="left" w:pos="340"/>
              </w:tabs>
              <w:spacing w:line="220" w:lineRule="atLeast"/>
              <w:jc w:val="left"/>
              <w:rPr>
                <w:rFonts w:eastAsia="Times New Roman"/>
                <w:sz w:val="16"/>
                <w:szCs w:val="15"/>
                <w:lang w:eastAsia="da-DK"/>
              </w:rPr>
            </w:pPr>
            <w:r w:rsidRPr="003A4BCD">
              <w:rPr>
                <w:rFonts w:eastAsia="Times New Roman"/>
                <w:sz w:val="16"/>
                <w:szCs w:val="15"/>
                <w:lang w:eastAsia="da-DK"/>
              </w:rPr>
              <w:t>Statistics Denmark, Finland, Iceland, Norway and Sweden; national database on non-financial business sector linked with international trade in goods statistics</w:t>
            </w:r>
          </w:p>
        </w:tc>
      </w:tr>
    </w:tbl>
    <w:p w14:paraId="2651AEB7" w14:textId="77777777" w:rsidR="00B601BE" w:rsidRPr="00BC7A4B" w:rsidRDefault="00B601BE" w:rsidP="00B601BE">
      <w:pPr>
        <w:keepNext/>
        <w:keepLines/>
        <w:numPr>
          <w:ilvl w:val="2"/>
          <w:numId w:val="4"/>
        </w:numPr>
        <w:spacing w:before="360"/>
        <w:outlineLvl w:val="2"/>
        <w:rPr>
          <w:rFonts w:eastAsiaTheme="majorEastAsia" w:cstheme="majorBidi"/>
          <w:i/>
        </w:rPr>
      </w:pPr>
      <w:r w:rsidRPr="00BC7A4B">
        <w:rPr>
          <w:rFonts w:eastAsiaTheme="majorEastAsia" w:cstheme="majorBidi"/>
          <w:i/>
        </w:rPr>
        <w:t>Importance of enterprise groups</w:t>
      </w:r>
    </w:p>
    <w:p w14:paraId="26A87820" w14:textId="5739E58B" w:rsidR="000C07C8" w:rsidRPr="009D44B0" w:rsidRDefault="000C07C8" w:rsidP="000C07C8">
      <w:r w:rsidRPr="009D44B0">
        <w:t xml:space="preserve">Recently, </w:t>
      </w:r>
      <w:r w:rsidR="00C96992">
        <w:t xml:space="preserve">the performance of large </w:t>
      </w:r>
      <w:r w:rsidR="009D44B0">
        <w:t>enterprise</w:t>
      </w:r>
      <w:r w:rsidR="00C96992">
        <w:t xml:space="preserve"> groups</w:t>
      </w:r>
      <w:r w:rsidRPr="009D44B0">
        <w:t>, and the possible effect on the economy has risen, with the introduction of the granular hypothesis</w:t>
      </w:r>
      <w:r w:rsidRPr="00353DCE">
        <w:rPr>
          <w:vertAlign w:val="superscript"/>
        </w:rPr>
        <w:footnoteReference w:id="3"/>
      </w:r>
      <w:r w:rsidRPr="00353DCE">
        <w:t xml:space="preserve">, where the size of the </w:t>
      </w:r>
      <w:r w:rsidR="009D44B0">
        <w:t>enterprise</w:t>
      </w:r>
      <w:r w:rsidRPr="00353DCE">
        <w:t>s is a key transmission mechanism of shocks to the macro</w:t>
      </w:r>
      <w:r w:rsidRPr="009D44B0">
        <w:t xml:space="preserve"> economy. This arises because of fat-tailed distribution of </w:t>
      </w:r>
      <w:r w:rsidR="009D44B0">
        <w:t>enterprise</w:t>
      </w:r>
      <w:r w:rsidRPr="009D44B0">
        <w:t>s (in terms of size), so that the value added of few big enterprise</w:t>
      </w:r>
      <w:r w:rsidR="00C96992">
        <w:t xml:space="preserve"> groups</w:t>
      </w:r>
      <w:r w:rsidRPr="009D44B0">
        <w:t xml:space="preserve"> account</w:t>
      </w:r>
      <w:r w:rsidR="00B766D5">
        <w:t>s</w:t>
      </w:r>
      <w:r w:rsidRPr="009D44B0">
        <w:t xml:space="preserve"> for a proportionally much larger share of economic activity and because idiosyncratic shocks to the most important </w:t>
      </w:r>
      <w:r w:rsidR="009D44B0">
        <w:t>enterprise</w:t>
      </w:r>
      <w:r w:rsidRPr="009D44B0">
        <w:t xml:space="preserve">s are not eliminated due to diversification. </w:t>
      </w:r>
    </w:p>
    <w:p w14:paraId="28152EB4" w14:textId="0F924B2C" w:rsidR="000C07C8" w:rsidRPr="009D44B0" w:rsidRDefault="000C07C8" w:rsidP="000C07C8">
      <w:r w:rsidRPr="009D44B0">
        <w:t>Nordic countries are a perfect example of how large the granular effects can be</w:t>
      </w:r>
      <w:r w:rsidRPr="00353DCE">
        <w:rPr>
          <w:vertAlign w:val="superscript"/>
        </w:rPr>
        <w:footnoteReference w:id="4"/>
      </w:r>
      <w:r w:rsidRPr="00353DCE">
        <w:t xml:space="preserve">. This is why proper </w:t>
      </w:r>
      <w:r w:rsidR="00581AAC" w:rsidRPr="00353DCE">
        <w:t>assessment</w:t>
      </w:r>
      <w:r w:rsidRPr="00353DCE">
        <w:t xml:space="preserve"> of the economic consequences of such concentration are vital in policy design, because one can understand a large part of economic activity of the host country, </w:t>
      </w:r>
      <w:r w:rsidRPr="009D44B0">
        <w:t>and its fluctuations, by focusing only on the ac</w:t>
      </w:r>
      <w:r w:rsidR="00B766D5">
        <w:t>tivities of few large enterprise groups</w:t>
      </w:r>
      <w:r w:rsidRPr="009D44B0">
        <w:t xml:space="preserve">. </w:t>
      </w:r>
    </w:p>
    <w:p w14:paraId="4FAD8961" w14:textId="77777777" w:rsidR="000C07C8" w:rsidRPr="009D44B0" w:rsidRDefault="000C07C8" w:rsidP="000C07C8">
      <w:r w:rsidRPr="009D44B0">
        <w:t xml:space="preserve">It needs to be underlined that the Nordic large </w:t>
      </w:r>
      <w:r w:rsidR="009D44B0">
        <w:t>enterprise</w:t>
      </w:r>
      <w:r w:rsidRPr="009D44B0">
        <w:t>s are typically organi</w:t>
      </w:r>
      <w:r w:rsidR="003A036A">
        <w:t>s</w:t>
      </w:r>
      <w:r w:rsidRPr="009D44B0">
        <w:t xml:space="preserve">ed </w:t>
      </w:r>
      <w:r w:rsidR="009D44B0">
        <w:t>in</w:t>
      </w:r>
      <w:r w:rsidRPr="009D44B0">
        <w:t xml:space="preserve"> </w:t>
      </w:r>
      <w:r w:rsidRPr="009D44B0">
        <w:rPr>
          <w:i/>
        </w:rPr>
        <w:t>enterprise groups</w:t>
      </w:r>
      <w:r w:rsidR="00581AAC">
        <w:t xml:space="preserve">, which </w:t>
      </w:r>
      <w:r w:rsidRPr="00581AAC">
        <w:t xml:space="preserve">may have global reach. This means that the global economic fluctuations will likely have an effect through these large multinationals – and this is why having a detailed view of not only the domestic </w:t>
      </w:r>
      <w:r w:rsidR="00581AAC" w:rsidRPr="00581AAC">
        <w:t>activities</w:t>
      </w:r>
      <w:r w:rsidRPr="00581AAC">
        <w:t xml:space="preserve">, but also international activities is important. </w:t>
      </w:r>
    </w:p>
    <w:p w14:paraId="4F7C2DD9" w14:textId="30068FD9" w:rsidR="000C07C8" w:rsidRPr="003A4BCD" w:rsidRDefault="000C07C8" w:rsidP="000C07C8">
      <w:r w:rsidRPr="009D44B0">
        <w:t xml:space="preserve">In an ongoing MDL project, the Nordic </w:t>
      </w:r>
      <w:r w:rsidRPr="003767F4">
        <w:t>NSIs have grouped together activities of the most important enterprise groups and created statistics that have the potential to provide more details on the aspects of concentration (and granular effects)</w:t>
      </w:r>
      <w:r w:rsidR="00AB3EE2">
        <w:rPr>
          <w:rStyle w:val="Fodnotehenvisning"/>
        </w:rPr>
        <w:footnoteReference w:id="5"/>
      </w:r>
      <w:r w:rsidRPr="003767F4">
        <w:t>. In particular, the new statistics show how the activities of leading groups a</w:t>
      </w:r>
      <w:r w:rsidRPr="003A4BCD">
        <w:t>re underrated in the standard statistics if one only considers individual enterprises as the statistical unit. This is because the controlling rights to productive assets in the economy are even more concentrated than usually understood, because large groups can control multiple affiliates, and because such ownership links between enterprises are usually hidden in the standard statistical output.</w:t>
      </w:r>
    </w:p>
    <w:p w14:paraId="69F7AEFA" w14:textId="77777777" w:rsidR="000C07C8" w:rsidRPr="00353DCE" w:rsidRDefault="000C07C8" w:rsidP="000C07C8">
      <w:r w:rsidRPr="000F2678">
        <w:t xml:space="preserve">Moreover, the new statistical output can provide more insights of large groups’ performance and links to global </w:t>
      </w:r>
      <w:r w:rsidRPr="00BC7A4B">
        <w:t>economy, when they are analysed as a whole, incorporating also the foreign parts to the analysis. This can change somewhat the perceived dynamics of large groups, since for example the employment generating behaviour can be dependent on</w:t>
      </w:r>
      <w:r w:rsidRPr="00353DCE">
        <w:t xml:space="preserve"> which parts of the group are observed, possibly due to offshoring. </w:t>
      </w:r>
    </w:p>
    <w:p w14:paraId="5E00A228" w14:textId="77777777" w:rsidR="000C07C8" w:rsidRPr="00353DCE" w:rsidRDefault="000C07C8" w:rsidP="000C07C8">
      <w:r w:rsidRPr="00353DCE">
        <w:t xml:space="preserve">Figure 6 is an example of an output that demonstrates how only looking at domestic parts might leave important dynamics hidden. The figure shows that the top groups have significant workforce (and global reach) outside domestic borders. This is especially true in Sweden. Moreover, one can observe that the employment creation can be different domestically, or abroad. This is especially true in Denmark, where foreign employment of top groups has increased, while domestic employment has </w:t>
      </w:r>
      <w:r w:rsidR="00C96992">
        <w:t>largely stayed the same between 2008 and 2016</w:t>
      </w:r>
      <w:r w:rsidRPr="00353DCE">
        <w:t>.</w:t>
      </w:r>
    </w:p>
    <w:p w14:paraId="5959C39A" w14:textId="77777777" w:rsidR="00D00224" w:rsidRPr="000F2678" w:rsidRDefault="00D00224" w:rsidP="00D00224">
      <w:pPr>
        <w:rPr>
          <w:b/>
        </w:rPr>
      </w:pPr>
      <w:r w:rsidRPr="003A4BCD">
        <w:rPr>
          <w:b/>
        </w:rPr>
        <w:t>Figure 6</w:t>
      </w:r>
      <w:r w:rsidRPr="000F2678">
        <w:rPr>
          <w:b/>
        </w:rPr>
        <w:t xml:space="preserve">: </w:t>
      </w:r>
      <w:r w:rsidR="00526A16" w:rsidRPr="000F2678">
        <w:rPr>
          <w:b/>
        </w:rPr>
        <w:t>Top 100 enterprise groups: Employment domestically and abroad</w:t>
      </w:r>
    </w:p>
    <w:p w14:paraId="63B1DA70" w14:textId="77777777" w:rsidR="00F941B3" w:rsidRPr="00353DCE" w:rsidRDefault="00F941B3" w:rsidP="00D00224">
      <w:pPr>
        <w:rPr>
          <w:b/>
        </w:rPr>
      </w:pPr>
      <w:r w:rsidRPr="0031686B">
        <w:rPr>
          <w:b/>
          <w:noProof/>
          <w:lang w:val="da-DK" w:eastAsia="da-DK"/>
        </w:rPr>
        <w:drawing>
          <wp:inline distT="0" distB="0" distL="0" distR="0" wp14:anchorId="789127F3" wp14:editId="73B69F98">
            <wp:extent cx="5400000" cy="2520000"/>
            <wp:effectExtent l="0" t="0" r="0" b="0"/>
            <wp:docPr id="9" name="Sisällön paikkamerkki 8"/>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Sisällön paikkamerkki 8"/>
                    <pic:cNvPicPr>
                      <a:picLocks noGrp="1" noChangeAspect="1"/>
                    </pic:cNvPicPr>
                  </pic:nvPicPr>
                  <pic:blipFill>
                    <a:blip r:embed="rId24"/>
                    <a:stretch>
                      <a:fillRect/>
                    </a:stretch>
                  </pic:blipFill>
                  <pic:spPr>
                    <a:xfrm>
                      <a:off x="0" y="0"/>
                      <a:ext cx="5400000" cy="2520000"/>
                    </a:xfrm>
                    <a:prstGeom prst="rect">
                      <a:avLst/>
                    </a:prstGeom>
                  </pic:spPr>
                </pic:pic>
              </a:graphicData>
            </a:graphic>
          </wp:inline>
        </w:drawing>
      </w:r>
    </w:p>
    <w:p w14:paraId="3915DF51" w14:textId="77777777" w:rsidR="00F941B3" w:rsidRPr="00353DCE" w:rsidRDefault="00F941B3" w:rsidP="00D00224">
      <w:pPr>
        <w:rPr>
          <w:b/>
        </w:rPr>
      </w:pPr>
      <w:r w:rsidRPr="0031686B">
        <w:rPr>
          <w:b/>
          <w:noProof/>
          <w:lang w:val="da-DK" w:eastAsia="da-DK"/>
        </w:rPr>
        <w:drawing>
          <wp:inline distT="0" distB="0" distL="0" distR="0" wp14:anchorId="4015700C" wp14:editId="11785082">
            <wp:extent cx="5400000" cy="2520000"/>
            <wp:effectExtent l="0" t="0" r="0" b="0"/>
            <wp:docPr id="11" name="Kuv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Kuva 10"/>
                    <pic:cNvPicPr>
                      <a:picLocks noChangeAspect="1"/>
                    </pic:cNvPicPr>
                  </pic:nvPicPr>
                  <pic:blipFill>
                    <a:blip r:embed="rId25"/>
                    <a:stretch>
                      <a:fillRect/>
                    </a:stretch>
                  </pic:blipFill>
                  <pic:spPr>
                    <a:xfrm>
                      <a:off x="0" y="0"/>
                      <a:ext cx="5400000" cy="2520000"/>
                    </a:xfrm>
                    <a:prstGeom prst="rect">
                      <a:avLst/>
                    </a:prstGeom>
                  </pic:spPr>
                </pic:pic>
              </a:graphicData>
            </a:graphic>
          </wp:inline>
        </w:drawing>
      </w:r>
    </w:p>
    <w:p w14:paraId="1724FE18" w14:textId="77777777" w:rsidR="00F941B3" w:rsidRPr="00353DCE" w:rsidRDefault="00F941B3" w:rsidP="00D00224">
      <w:pPr>
        <w:rPr>
          <w:b/>
        </w:rPr>
      </w:pPr>
      <w:r w:rsidRPr="0031686B">
        <w:rPr>
          <w:b/>
          <w:noProof/>
          <w:lang w:val="da-DK" w:eastAsia="da-DK"/>
        </w:rPr>
        <w:drawing>
          <wp:inline distT="0" distB="0" distL="0" distR="0" wp14:anchorId="4FB53E07" wp14:editId="77197239">
            <wp:extent cx="5400000" cy="2520000"/>
            <wp:effectExtent l="0" t="0" r="0" b="0"/>
            <wp:docPr id="12" name="Kuv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Kuva 11"/>
                    <pic:cNvPicPr>
                      <a:picLocks noChangeAspect="1"/>
                    </pic:cNvPicPr>
                  </pic:nvPicPr>
                  <pic:blipFill>
                    <a:blip r:embed="rId26"/>
                    <a:stretch>
                      <a:fillRect/>
                    </a:stretch>
                  </pic:blipFill>
                  <pic:spPr>
                    <a:xfrm>
                      <a:off x="0" y="0"/>
                      <a:ext cx="5400000" cy="2520000"/>
                    </a:xfrm>
                    <a:prstGeom prst="rect">
                      <a:avLst/>
                    </a:prstGeom>
                  </pic:spPr>
                </pic:pic>
              </a:graphicData>
            </a:graphic>
          </wp:inline>
        </w:drawing>
      </w:r>
    </w:p>
    <w:p w14:paraId="0134A621" w14:textId="77777777" w:rsidR="00B601BE" w:rsidRPr="009D44B0" w:rsidRDefault="00B601BE" w:rsidP="00B601BE">
      <w:pPr>
        <w:keepNext/>
        <w:keepLines/>
        <w:numPr>
          <w:ilvl w:val="2"/>
          <w:numId w:val="4"/>
        </w:numPr>
        <w:spacing w:before="360"/>
        <w:outlineLvl w:val="2"/>
        <w:rPr>
          <w:rFonts w:eastAsiaTheme="majorEastAsia" w:cstheme="majorBidi"/>
          <w:i/>
        </w:rPr>
      </w:pPr>
      <w:r w:rsidRPr="009D44B0">
        <w:rPr>
          <w:rFonts w:eastAsiaTheme="majorEastAsia" w:cstheme="majorBidi"/>
          <w:i/>
        </w:rPr>
        <w:t>MDL as input to macro statistics</w:t>
      </w:r>
    </w:p>
    <w:p w14:paraId="5BD5F76F" w14:textId="77777777" w:rsidR="0038617F" w:rsidRPr="003A4BCD" w:rsidRDefault="0038617F" w:rsidP="0038617F">
      <w:r w:rsidRPr="009D44B0">
        <w:t>This project had the ambitious goal of aligning business data to national accounts concepts by integrating the output derived from the linked Nordic micro</w:t>
      </w:r>
      <w:r w:rsidR="00581AAC">
        <w:t>-</w:t>
      </w:r>
      <w:r w:rsidRPr="00581AAC">
        <w:t>data with OECDs T</w:t>
      </w:r>
      <w:r w:rsidRPr="009D44B0">
        <w:t xml:space="preserve">rade in Value </w:t>
      </w:r>
      <w:r w:rsidRPr="003767F4">
        <w:t>Added</w:t>
      </w:r>
      <w:r w:rsidRPr="003A4BCD">
        <w:t xml:space="preserve"> database </w:t>
      </w:r>
      <w:r w:rsidR="00C96992">
        <w:t>(</w:t>
      </w:r>
      <w:r w:rsidRPr="003A4BCD">
        <w:t>Statistics Denmark et al.</w:t>
      </w:r>
      <w:r w:rsidR="00C96992">
        <w:t xml:space="preserve">, </w:t>
      </w:r>
      <w:r w:rsidRPr="003A4BCD">
        <w:t>2017).</w:t>
      </w:r>
    </w:p>
    <w:p w14:paraId="3A82470D" w14:textId="77777777" w:rsidR="0038617F" w:rsidRPr="00581AAC" w:rsidRDefault="0038617F" w:rsidP="0038617F">
      <w:r w:rsidRPr="000F2678">
        <w:t>The TiVA database follows</w:t>
      </w:r>
      <w:r w:rsidRPr="00FB2E42">
        <w:t xml:space="preserve"> the practices of the System of National Accounts (SNA), where imports by </w:t>
      </w:r>
      <w:r w:rsidR="009D44B0">
        <w:t>enterprise</w:t>
      </w:r>
      <w:r w:rsidRPr="009D44B0">
        <w:t>s are included as direct imports even if they pass through resident wholesale and retail activities first. In other words imports of goods by wholesalers and retailers for subsequent sale without any further processing are not recorded as their imports in the SNA. The same holds for exports of goods that have not been the subject of any further processing by wholesalers and retailers</w:t>
      </w:r>
      <w:r w:rsidRPr="003A4BCD">
        <w:t>. In the linked micro</w:t>
      </w:r>
      <w:r w:rsidR="00581AAC">
        <w:t>-</w:t>
      </w:r>
      <w:r w:rsidRPr="00581AAC">
        <w:t xml:space="preserve">data used in this study, trade is matched to those enterprises that are immediately responsible for imports and exports, including to wholesale and retail </w:t>
      </w:r>
      <w:r w:rsidR="009D44B0">
        <w:t>enterprise</w:t>
      </w:r>
      <w:r w:rsidRPr="00581AAC">
        <w:t>s. To align with national accounts concepts, the export and import values for the wholesale and retail sector as reported in the linked micro</w:t>
      </w:r>
      <w:r w:rsidR="00581AAC">
        <w:t>-</w:t>
      </w:r>
      <w:r w:rsidRPr="00581AAC">
        <w:t>data were constrained to the levels reported in in Nordic Supply-Use Tabl</w:t>
      </w:r>
      <w:r w:rsidR="00703CD4">
        <w:t>e</w:t>
      </w:r>
      <w:r w:rsidRPr="00581AAC">
        <w:t xml:space="preserve">s (SUTs), i.e. the ratio of exports or imports in total output. The additional trade (on average about half of what was reported) was subsequently distributed to </w:t>
      </w:r>
      <w:r w:rsidRPr="009D44B0">
        <w:t xml:space="preserve">other sectors in a two-stage procedure by first identifying the products involved (using official national Trade by Enterprise Characteristics data) and then proportionately allocating these products to using (importing) or exporting industries and </w:t>
      </w:r>
      <w:r w:rsidR="009D44B0">
        <w:t>enterprise</w:t>
      </w:r>
      <w:r w:rsidRPr="009D44B0">
        <w:t xml:space="preserve"> types on the basis of information included in the micro</w:t>
      </w:r>
      <w:r w:rsidR="00581AAC">
        <w:t>-</w:t>
      </w:r>
      <w:r w:rsidRPr="00581AAC">
        <w:t xml:space="preserve">data and national SUTs. </w:t>
      </w:r>
    </w:p>
    <w:p w14:paraId="32EC87FA" w14:textId="77777777" w:rsidR="0038617F" w:rsidRPr="009D44B0" w:rsidRDefault="0038617F" w:rsidP="0038617F">
      <w:r w:rsidRPr="009D44B0">
        <w:t xml:space="preserve">The purpose of the project was to overcome some of the shortcomings of the current TiVA database by introducing </w:t>
      </w:r>
      <w:r w:rsidR="009D44B0">
        <w:t>enterprise</w:t>
      </w:r>
      <w:r w:rsidRPr="009D44B0">
        <w:t xml:space="preserve"> based characteristics to better reflect the heterogeneous nature of GVC integration - including size, e.g. SMEs (dependent and independent); ownership, (i.e. foreign and domestically owned enterprises)  and trading status, (i.e. trading and non-trading companies). </w:t>
      </w:r>
    </w:p>
    <w:p w14:paraId="37295BE3" w14:textId="77777777" w:rsidR="00935287" w:rsidRPr="003A4BCD" w:rsidRDefault="00935287" w:rsidP="0038617F"/>
    <w:p w14:paraId="48B6D3AE" w14:textId="77777777" w:rsidR="00145E53" w:rsidRPr="003A4BCD" w:rsidRDefault="00145E53" w:rsidP="0038617F"/>
    <w:p w14:paraId="28E3873D" w14:textId="77777777" w:rsidR="00145E53" w:rsidRPr="003A4BCD" w:rsidRDefault="00145E53" w:rsidP="0038617F"/>
    <w:p w14:paraId="3BC7FE83" w14:textId="77777777" w:rsidR="00145E53" w:rsidRPr="000F2678" w:rsidRDefault="00145E53" w:rsidP="0038617F"/>
    <w:p w14:paraId="027BA8C8" w14:textId="77777777" w:rsidR="00145E53" w:rsidRPr="00BC7A4B" w:rsidRDefault="00145E53" w:rsidP="0038617F"/>
    <w:p w14:paraId="5D06B52E" w14:textId="77777777" w:rsidR="00935287" w:rsidRPr="00353DCE" w:rsidRDefault="00935287" w:rsidP="00935287">
      <w:pPr>
        <w:rPr>
          <w:b/>
        </w:rPr>
      </w:pPr>
      <w:r w:rsidRPr="00BC7A4B">
        <w:rPr>
          <w:b/>
        </w:rPr>
        <w:t xml:space="preserve">Figure 7: </w:t>
      </w:r>
      <w:r w:rsidRPr="00283E9A">
        <w:rPr>
          <w:b/>
          <w:bCs/>
        </w:rPr>
        <w:t>Exported domestic value added as per cent of total domestic value added. 2013</w:t>
      </w:r>
    </w:p>
    <w:p w14:paraId="65618C37" w14:textId="77777777" w:rsidR="00935287" w:rsidRPr="00353DCE" w:rsidRDefault="00935287" w:rsidP="00935287">
      <w:r w:rsidRPr="0031686B">
        <w:rPr>
          <w:rFonts w:ascii="Arial Narrow" w:hAnsi="Arial Narrow"/>
          <w:b/>
          <w:noProof/>
          <w:sz w:val="18"/>
          <w:lang w:val="da-DK" w:eastAsia="da-DK"/>
        </w:rPr>
        <w:drawing>
          <wp:inline distT="0" distB="0" distL="0" distR="0" wp14:anchorId="263FF330" wp14:editId="7E61434A">
            <wp:extent cx="5400000" cy="29016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0" cy="2901600"/>
                    </a:xfrm>
                    <a:prstGeom prst="rect">
                      <a:avLst/>
                    </a:prstGeom>
                    <a:noFill/>
                    <a:ln>
                      <a:noFill/>
                    </a:ln>
                  </pic:spPr>
                </pic:pic>
              </a:graphicData>
            </a:graphic>
          </wp:inline>
        </w:drawing>
      </w:r>
    </w:p>
    <w:p w14:paraId="6A4CF70A" w14:textId="77777777" w:rsidR="00935287" w:rsidRPr="009D44B0" w:rsidRDefault="00935287" w:rsidP="0038617F"/>
    <w:p w14:paraId="25AE2B67" w14:textId="7A5A8390" w:rsidR="0038617F" w:rsidRPr="009D44B0" w:rsidRDefault="0038617F" w:rsidP="0038617F">
      <w:r w:rsidRPr="009D44B0">
        <w:t>Although SMEs have less direct engagement in exports, see Figure 7, they have</w:t>
      </w:r>
      <w:r w:rsidR="00935287" w:rsidRPr="009D44B0">
        <w:t xml:space="preserve"> </w:t>
      </w:r>
      <w:r w:rsidRPr="003767F4">
        <w:t>important integration channels as upstream suppliers. Indeed, for some categories</w:t>
      </w:r>
      <w:r w:rsidR="00935287" w:rsidRPr="003767F4">
        <w:t xml:space="preserve"> </w:t>
      </w:r>
      <w:r w:rsidRPr="003767F4">
        <w:t xml:space="preserve">of </w:t>
      </w:r>
      <w:r w:rsidR="009D44B0">
        <w:t>enterprise</w:t>
      </w:r>
      <w:r w:rsidRPr="009D44B0">
        <w:t>s, the value added due to indirect exports is larger than through direct exports.</w:t>
      </w:r>
      <w:r w:rsidR="00935287" w:rsidRPr="009D44B0">
        <w:t xml:space="preserve"> </w:t>
      </w:r>
      <w:r w:rsidRPr="009D44B0">
        <w:t>Overall, when accounting for indirect exports of value-added, foreign markets are at least twice as important for SMEs compared with traditional business</w:t>
      </w:r>
      <w:r w:rsidR="00935287" w:rsidRPr="009D44B0">
        <w:t xml:space="preserve"> s</w:t>
      </w:r>
      <w:r w:rsidRPr="003A4BCD">
        <w:t xml:space="preserve">tatistics published by the NSIs. For example, while only 5 per cent of total value added generated by independent micro SMEs in Sweden is exported directly, an additional 24 per cent of their value added is indirectly embodied in exports. For large </w:t>
      </w:r>
      <w:r w:rsidR="009D44B0">
        <w:t>enterprise</w:t>
      </w:r>
      <w:r w:rsidRPr="009D44B0">
        <w:t xml:space="preserve">s these differences are also significant, but they have more value added due to direct exports than to indirect exports: direct exports accounted for 40 per cent of the total value added of large enterprises in Sweden for example but an additional 15 per cent was indirectly embodied in exports. Nevertheless, despite the smaller indirect links of large </w:t>
      </w:r>
      <w:r w:rsidR="009D44B0">
        <w:t>enterprise</w:t>
      </w:r>
      <w:r w:rsidRPr="009D44B0">
        <w:t xml:space="preserve">s, in general, SMEs have lower export orientation than larger </w:t>
      </w:r>
      <w:r w:rsidR="009D44B0">
        <w:t>enterprise</w:t>
      </w:r>
      <w:r w:rsidRPr="009D44B0">
        <w:t>s, especially independent SMEs</w:t>
      </w:r>
      <w:r w:rsidR="00B766D5">
        <w:t>, see also 4.1.1</w:t>
      </w:r>
      <w:r w:rsidRPr="009D44B0">
        <w:t xml:space="preserve">. </w:t>
      </w:r>
    </w:p>
    <w:p w14:paraId="25C3D00F" w14:textId="77777777" w:rsidR="00D00224" w:rsidRPr="009D44B0" w:rsidRDefault="00D00224" w:rsidP="00B601BE"/>
    <w:p w14:paraId="6411876B" w14:textId="77777777" w:rsidR="00935287" w:rsidRPr="009D44B0" w:rsidRDefault="00935287" w:rsidP="00935287">
      <w:pPr>
        <w:keepNext/>
        <w:keepLines/>
        <w:numPr>
          <w:ilvl w:val="0"/>
          <w:numId w:val="4"/>
        </w:numPr>
        <w:spacing w:before="360"/>
        <w:outlineLvl w:val="1"/>
        <w:rPr>
          <w:rFonts w:eastAsiaTheme="majorEastAsia" w:cstheme="majorBidi"/>
          <w:b/>
          <w:szCs w:val="26"/>
        </w:rPr>
      </w:pPr>
      <w:r w:rsidRPr="009D44B0">
        <w:rPr>
          <w:rFonts w:eastAsiaTheme="majorEastAsia" w:cstheme="majorBidi"/>
          <w:b/>
          <w:szCs w:val="26"/>
        </w:rPr>
        <w:t>Conclusion</w:t>
      </w:r>
    </w:p>
    <w:p w14:paraId="0F850803" w14:textId="067720BE" w:rsidR="0031686B" w:rsidRDefault="000A5CAE" w:rsidP="0031686B">
      <w:r>
        <w:t>T</w:t>
      </w:r>
      <w:r w:rsidR="0031686B">
        <w:t xml:space="preserve">he </w:t>
      </w:r>
      <w:r w:rsidR="00C96992">
        <w:t xml:space="preserve">selection of results presented </w:t>
      </w:r>
      <w:r w:rsidR="0031686B">
        <w:t>in section four,</w:t>
      </w:r>
      <w:r>
        <w:t xml:space="preserve"> show how </w:t>
      </w:r>
      <w:r w:rsidR="00B766D5">
        <w:t>harmonised databases</w:t>
      </w:r>
      <w:r w:rsidR="0031686B">
        <w:t xml:space="preserve"> across the Nordic countries and the use og centrally scripted</w:t>
      </w:r>
      <w:r>
        <w:t xml:space="preserve"> approach is</w:t>
      </w:r>
      <w:r w:rsidR="0031686B">
        <w:t xml:space="preserve"> </w:t>
      </w:r>
      <w:r>
        <w:t xml:space="preserve">an effective tool in answering complex and diverse research questions. As such, this approach </w:t>
      </w:r>
      <w:r w:rsidR="00B766D5">
        <w:t>has</w:t>
      </w:r>
      <w:r w:rsidR="0031686B">
        <w:t xml:space="preserve"> played a </w:t>
      </w:r>
      <w:r>
        <w:t xml:space="preserve">central </w:t>
      </w:r>
      <w:r w:rsidR="0031686B">
        <w:t>role in advancing the knowledge of enterprise heterogeneity and the answering of the question ‘how are different types of enterprises contribute to the growth in the domestic economy’</w:t>
      </w:r>
      <w:r>
        <w:t>,</w:t>
      </w:r>
      <w:r w:rsidR="0031686B">
        <w:t xml:space="preserve"> as well as aiding in the proses of </w:t>
      </w:r>
      <w:r>
        <w:t>understanding</w:t>
      </w:r>
      <w:r w:rsidR="0031686B">
        <w:t xml:space="preserve"> the magnitude and importance of cross border activities by </w:t>
      </w:r>
      <w:r w:rsidR="002606D1">
        <w:t xml:space="preserve">addressing </w:t>
      </w:r>
      <w:r w:rsidR="0031686B">
        <w:t>‘what kind of enterprises are trading’ instead of ‘what do countries trade’. Thus</w:t>
      </w:r>
      <w:r>
        <w:t>,</w:t>
      </w:r>
      <w:r w:rsidR="0031686B">
        <w:t xml:space="preserve"> harmonised databased across the Nordic countries and the use og centrally scripted syntax have been verified</w:t>
      </w:r>
      <w:r w:rsidR="002606D1">
        <w:t>,</w:t>
      </w:r>
      <w:r w:rsidR="0031686B">
        <w:t xml:space="preserve"> as a practical t</w:t>
      </w:r>
      <w:r w:rsidR="00247CD3">
        <w:t>ool in meeting the challenge of</w:t>
      </w:r>
      <w:r>
        <w:t xml:space="preserve"> (new) knowledge creation without putting </w:t>
      </w:r>
      <w:r w:rsidR="00724FC8">
        <w:t>any</w:t>
      </w:r>
      <w:r>
        <w:t xml:space="preserve"> further burden on enterprises in term of</w:t>
      </w:r>
      <w:r w:rsidR="002606D1">
        <w:t xml:space="preserve"> increased</w:t>
      </w:r>
      <w:r w:rsidR="00724FC8">
        <w:t xml:space="preserve"> data collection</w:t>
      </w:r>
      <w:r>
        <w:t>.</w:t>
      </w:r>
    </w:p>
    <w:p w14:paraId="7D912364" w14:textId="77777777" w:rsidR="005F1DBE" w:rsidRDefault="00935287" w:rsidP="00935287">
      <w:r w:rsidRPr="003A4BCD">
        <w:t>In the future, combining the business statistics data to social statistics by including variables available at individual employee level such as educational attainment, gender, income/salaries, years of work experience and more is expected to enrich and deepen linked micro</w:t>
      </w:r>
      <w:r w:rsidR="00581AAC">
        <w:t>-</w:t>
      </w:r>
      <w:r w:rsidRPr="00581AAC">
        <w:t>data analysis. Linking information from the business register with information on jobs enab</w:t>
      </w:r>
      <w:r w:rsidRPr="009D44B0">
        <w:t>les the analysis of the impact of the (dynamic) structure of the business economy on the labour market. The advent of globali</w:t>
      </w:r>
      <w:r w:rsidR="003A036A">
        <w:t>s</w:t>
      </w:r>
      <w:r w:rsidRPr="009D44B0">
        <w:t>ation has been paired with intense debates among policy makers and academics about its consequences for a range of social issues related to employment, labour conditions, income equality and overall human wellbeing. On the one hand, the growing internationali</w:t>
      </w:r>
      <w:r w:rsidR="003A036A">
        <w:t>s</w:t>
      </w:r>
      <w:r w:rsidRPr="009D44B0">
        <w:t>ation of production may lead to economic growth, increased employment and higher wages. On the other hand, fears are often exp</w:t>
      </w:r>
      <w:r w:rsidRPr="003A4BCD">
        <w:t>ressed that economic growth may be decoupled from job creation, partly due to increased competition from low-wage countries, or through outsourcing and off-shoring activities of enterprises.</w:t>
      </w:r>
      <w:r w:rsidR="005F1DBE">
        <w:t xml:space="preserve"> </w:t>
      </w:r>
    </w:p>
    <w:p w14:paraId="4407BE65" w14:textId="533F721E" w:rsidR="00935287" w:rsidRPr="003A4BCD" w:rsidRDefault="005F1DBE" w:rsidP="00935287">
      <w:r>
        <w:t xml:space="preserve">The above </w:t>
      </w:r>
      <w:r w:rsidR="00A85335">
        <w:t>coupled</w:t>
      </w:r>
      <w:r>
        <w:t xml:space="preserve"> with the strong embeddedness of the Nordic </w:t>
      </w:r>
      <w:r w:rsidR="00247CD3">
        <w:t>economies</w:t>
      </w:r>
      <w:r>
        <w:t xml:space="preserve"> to the world marked exposes enterprise</w:t>
      </w:r>
      <w:r w:rsidR="00B766D5">
        <w:t>s</w:t>
      </w:r>
      <w:r>
        <w:t xml:space="preserve"> and the Nordic </w:t>
      </w:r>
      <w:r w:rsidR="00B766D5">
        <w:t>societies</w:t>
      </w:r>
      <w:r>
        <w:t xml:space="preserve"> to economic </w:t>
      </w:r>
      <w:r w:rsidR="00247CD3">
        <w:t>uncertainties</w:t>
      </w:r>
      <w:r>
        <w:t xml:space="preserve">. </w:t>
      </w:r>
      <w:r w:rsidR="007B29A8">
        <w:t xml:space="preserve">Furthermore, </w:t>
      </w:r>
      <w:r w:rsidR="00A85335">
        <w:t xml:space="preserve">both </w:t>
      </w:r>
      <w:r w:rsidR="007B29A8">
        <w:t>t</w:t>
      </w:r>
      <w:r>
        <w:t>he</w:t>
      </w:r>
      <w:r w:rsidR="00A85335">
        <w:t xml:space="preserve"> sort and long term effects</w:t>
      </w:r>
      <w:r>
        <w:t xml:space="preserve"> of major geopolitical events such as BREXIT and the deteriorating trade relationship between the US i</w:t>
      </w:r>
      <w:r w:rsidR="007B29A8">
        <w:t>t</w:t>
      </w:r>
      <w:r>
        <w:t xml:space="preserve">s trading </w:t>
      </w:r>
      <w:r w:rsidR="00A85335">
        <w:t>partners</w:t>
      </w:r>
      <w:r>
        <w:t xml:space="preserve"> are yet to be </w:t>
      </w:r>
      <w:r w:rsidR="00A85335">
        <w:t>uncovered</w:t>
      </w:r>
      <w:r w:rsidR="007B29A8">
        <w:t xml:space="preserve">. </w:t>
      </w:r>
      <w:r w:rsidR="00A85335">
        <w:t xml:space="preserve">In this, </w:t>
      </w:r>
      <w:r>
        <w:t xml:space="preserve">micro-data linking could play a pivotal role in </w:t>
      </w:r>
      <w:r w:rsidR="00247CD3">
        <w:t>scrutinising</w:t>
      </w:r>
      <w:r>
        <w:t xml:space="preserve"> the </w:t>
      </w:r>
      <w:r w:rsidR="007B29A8">
        <w:t xml:space="preserve">different </w:t>
      </w:r>
      <w:r>
        <w:t xml:space="preserve">effects </w:t>
      </w:r>
      <w:r w:rsidR="007B29A8">
        <w:t xml:space="preserve">of </w:t>
      </w:r>
      <w:r w:rsidR="00B766D5">
        <w:t>potential shocks to the economy</w:t>
      </w:r>
      <w:r w:rsidR="007B29A8">
        <w:t>.</w:t>
      </w:r>
    </w:p>
    <w:p w14:paraId="78200753" w14:textId="77777777" w:rsidR="00B601BE" w:rsidRPr="00FB2E42" w:rsidRDefault="00B601BE" w:rsidP="00B601BE">
      <w:pPr>
        <w:keepNext/>
        <w:keepLines/>
        <w:numPr>
          <w:ilvl w:val="0"/>
          <w:numId w:val="4"/>
        </w:numPr>
        <w:spacing w:before="360"/>
        <w:outlineLvl w:val="1"/>
        <w:rPr>
          <w:rFonts w:eastAsiaTheme="majorEastAsia" w:cstheme="majorBidi"/>
          <w:b/>
          <w:szCs w:val="26"/>
        </w:rPr>
      </w:pPr>
      <w:r w:rsidRPr="000F2678">
        <w:rPr>
          <w:rFonts w:eastAsiaTheme="majorEastAsia" w:cstheme="majorBidi"/>
          <w:b/>
          <w:szCs w:val="26"/>
        </w:rPr>
        <w:t>References</w:t>
      </w:r>
    </w:p>
    <w:p w14:paraId="7FC5E4CC" w14:textId="0A80FE48" w:rsidR="00935287" w:rsidRDefault="00935287" w:rsidP="00935287">
      <w:r w:rsidRPr="00BC7A4B">
        <w:t>Birch</w:t>
      </w:r>
      <w:r w:rsidR="008D12D6">
        <w:t xml:space="preserve">, D.L. (1981), </w:t>
      </w:r>
      <w:r w:rsidR="008D12D6" w:rsidRPr="008D12D6">
        <w:t>‘Who Creates Jobs?</w:t>
      </w:r>
      <w:r w:rsidR="008D12D6">
        <w:t>,</w:t>
      </w:r>
      <w:r w:rsidR="008D12D6" w:rsidRPr="008D12D6">
        <w:t xml:space="preserve"> Interest</w:t>
      </w:r>
      <w:r w:rsidR="008D12D6">
        <w:t>, 65:3</w:t>
      </w:r>
      <w:r w:rsidR="008D12D6" w:rsidRPr="008D12D6">
        <w:t xml:space="preserve">, </w:t>
      </w:r>
      <w:r w:rsidR="008D12D6">
        <w:t xml:space="preserve">pp. </w:t>
      </w:r>
      <w:r w:rsidR="008D12D6" w:rsidRPr="008D12D6">
        <w:t>3–14.</w:t>
      </w:r>
    </w:p>
    <w:p w14:paraId="6D40A2FF" w14:textId="6EAC7121" w:rsidR="00935287" w:rsidRPr="000A5CAE" w:rsidRDefault="00935287" w:rsidP="00935287">
      <w:pPr>
        <w:rPr>
          <w:lang w:val="da-DK"/>
        </w:rPr>
      </w:pPr>
      <w:r w:rsidRPr="0031686B">
        <w:rPr>
          <w:lang w:val="da-DK"/>
        </w:rPr>
        <w:t>Eksportrådet (2014),</w:t>
      </w:r>
      <w:r w:rsidRPr="0031686B">
        <w:rPr>
          <w:i/>
          <w:lang w:val="da-DK"/>
        </w:rPr>
        <w:t xml:space="preserve"> Det handler om arbejdspladser</w:t>
      </w:r>
      <w:r w:rsidRPr="0031686B">
        <w:rPr>
          <w:lang w:val="da-DK"/>
        </w:rPr>
        <w:t>, Eksportrådets politik for s</w:t>
      </w:r>
      <w:r w:rsidR="0085097B">
        <w:rPr>
          <w:lang w:val="da-DK"/>
        </w:rPr>
        <w:t>må og mellemstore virksomheder.</w:t>
      </w:r>
    </w:p>
    <w:p w14:paraId="521DBE2A" w14:textId="1CDE3D6B" w:rsidR="0085097B" w:rsidRDefault="0085097B" w:rsidP="0085097B">
      <w:pPr>
        <w:autoSpaceDE w:val="0"/>
        <w:autoSpaceDN w:val="0"/>
        <w:adjustRightInd w:val="0"/>
        <w:spacing w:before="0" w:line="240" w:lineRule="auto"/>
        <w:jc w:val="left"/>
      </w:pPr>
      <w:r w:rsidRPr="00283E9A">
        <w:t>Fornaro</w:t>
      </w:r>
      <w:r>
        <w:t xml:space="preserve">, P. and </w:t>
      </w:r>
      <w:r w:rsidRPr="00283E9A">
        <w:t>Luomaranta</w:t>
      </w:r>
      <w:r>
        <w:t xml:space="preserve">, H (2018), </w:t>
      </w:r>
      <w:r w:rsidRPr="00283E9A">
        <w:t>Aggregate fluctuations and the effect of lar</w:t>
      </w:r>
      <w:r>
        <w:t>ge corporations: Evidence from Finnish monthly data,</w:t>
      </w:r>
      <w:r w:rsidRPr="00283E9A">
        <w:t xml:space="preserve"> </w:t>
      </w:r>
      <w:r w:rsidRPr="008D12D6">
        <w:rPr>
          <w:iCs/>
        </w:rPr>
        <w:t>Economic Modelling</w:t>
      </w:r>
      <w:r>
        <w:t xml:space="preserve">, 70, pp. </w:t>
      </w:r>
      <w:r>
        <w:t>245–258</w:t>
      </w:r>
      <w:r w:rsidRPr="00283E9A">
        <w:t>.</w:t>
      </w:r>
    </w:p>
    <w:p w14:paraId="5A1526E6" w14:textId="77777777" w:rsidR="0085097B" w:rsidRPr="00283E9A" w:rsidRDefault="0085097B" w:rsidP="0085097B">
      <w:pPr>
        <w:autoSpaceDE w:val="0"/>
        <w:autoSpaceDN w:val="0"/>
        <w:adjustRightInd w:val="0"/>
        <w:spacing w:before="0" w:line="240" w:lineRule="auto"/>
        <w:jc w:val="left"/>
      </w:pPr>
    </w:p>
    <w:p w14:paraId="788236FE" w14:textId="77777777" w:rsidR="0085097B" w:rsidRPr="00283E9A" w:rsidRDefault="0085097B" w:rsidP="0085097B">
      <w:pPr>
        <w:autoSpaceDE w:val="0"/>
        <w:autoSpaceDN w:val="0"/>
        <w:adjustRightInd w:val="0"/>
        <w:spacing w:before="0" w:line="240" w:lineRule="auto"/>
        <w:jc w:val="left"/>
      </w:pPr>
      <w:r w:rsidRPr="00283E9A">
        <w:t>Gabaix</w:t>
      </w:r>
      <w:r>
        <w:t>, X. (2011),</w:t>
      </w:r>
      <w:r w:rsidRPr="00283E9A">
        <w:t xml:space="preserve"> The granular or</w:t>
      </w:r>
      <w:r>
        <w:t>igins of aggregate fluctuations,</w:t>
      </w:r>
      <w:r w:rsidRPr="00283E9A">
        <w:t xml:space="preserve"> </w:t>
      </w:r>
      <w:r w:rsidRPr="0085097B">
        <w:rPr>
          <w:iCs/>
        </w:rPr>
        <w:t>Econometrica</w:t>
      </w:r>
      <w:r w:rsidRPr="00283E9A">
        <w:t>, 79(3):</w:t>
      </w:r>
      <w:r>
        <w:t xml:space="preserve"> pp. 733–772</w:t>
      </w:r>
      <w:r w:rsidRPr="00283E9A">
        <w:t>.</w:t>
      </w:r>
    </w:p>
    <w:p w14:paraId="3684AEA0" w14:textId="14E6E7AC" w:rsidR="0085097B" w:rsidRPr="00353DCE" w:rsidRDefault="0085097B" w:rsidP="0085097B">
      <w:r w:rsidRPr="00BC7A4B">
        <w:t>Statistics Denmark, Statistics Finland, Statistics Norway, Statistics Sweden and OECD (2017), Nordic Countr</w:t>
      </w:r>
      <w:r w:rsidRPr="00353DCE">
        <w:t>ies in Global Value Chains</w:t>
      </w:r>
      <w:r>
        <w:t>.</w:t>
      </w:r>
      <w:r w:rsidRPr="00353DCE">
        <w:t xml:space="preserve"> </w:t>
      </w:r>
    </w:p>
    <w:p w14:paraId="1B2C0FD0" w14:textId="795274FE" w:rsidR="0085097B" w:rsidRPr="00283E9A" w:rsidRDefault="0085097B" w:rsidP="0085097B">
      <w:r w:rsidRPr="00283E9A">
        <w:t>Statistics Denmark, Statistics Finland, Statistics Norway and Statistics Sweden (2014), Nordic Exports of Goods and Exporting Enterprises</w:t>
      </w:r>
      <w:r>
        <w:t>.</w:t>
      </w:r>
    </w:p>
    <w:p w14:paraId="6F6D902B" w14:textId="77777777" w:rsidR="00935287" w:rsidRPr="0085097B" w:rsidRDefault="00935287" w:rsidP="00935287">
      <w:pPr>
        <w:autoSpaceDE w:val="0"/>
        <w:autoSpaceDN w:val="0"/>
        <w:adjustRightInd w:val="0"/>
        <w:spacing w:before="0" w:line="240" w:lineRule="auto"/>
        <w:jc w:val="left"/>
      </w:pPr>
    </w:p>
    <w:p w14:paraId="203F5CAE" w14:textId="77777777" w:rsidR="00935287" w:rsidRPr="0085097B" w:rsidRDefault="00935287" w:rsidP="00935287">
      <w:pPr>
        <w:autoSpaceDE w:val="0"/>
        <w:autoSpaceDN w:val="0"/>
        <w:adjustRightInd w:val="0"/>
        <w:spacing w:before="0" w:line="240" w:lineRule="auto"/>
        <w:jc w:val="left"/>
        <w:rPr>
          <w:lang w:val="en-US"/>
        </w:rPr>
      </w:pPr>
    </w:p>
    <w:p w14:paraId="7985567D" w14:textId="77777777" w:rsidR="00B601BE" w:rsidRPr="0085097B" w:rsidRDefault="00B601BE" w:rsidP="00935287">
      <w:pPr>
        <w:rPr>
          <w:lang w:val="en-US"/>
        </w:rPr>
      </w:pPr>
    </w:p>
    <w:sectPr w:rsidR="00B601BE" w:rsidRPr="0085097B" w:rsidSect="0023623C">
      <w:headerReference w:type="even" r:id="rId28"/>
      <w:headerReference w:type="default" r:id="rId29"/>
      <w:footerReference w:type="default" r:id="rId30"/>
      <w:headerReference w:type="first" r:id="rId3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0612" w14:textId="77777777" w:rsidR="00284C14" w:rsidRDefault="00284C14" w:rsidP="002A6A14">
      <w:r>
        <w:separator/>
      </w:r>
    </w:p>
  </w:endnote>
  <w:endnote w:type="continuationSeparator" w:id="0">
    <w:p w14:paraId="728B79D7" w14:textId="77777777" w:rsidR="00284C14" w:rsidRDefault="00284C14"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sdtContent>
      <w:p w14:paraId="4649FEF3" w14:textId="77777777" w:rsidR="002A24C1" w:rsidRPr="009378F5" w:rsidRDefault="002A24C1" w:rsidP="002A6A14">
        <w:pPr>
          <w:pStyle w:val="Sidefod"/>
        </w:pPr>
        <w:r w:rsidRPr="009378F5">
          <w:fldChar w:fldCharType="begin"/>
        </w:r>
        <w:r w:rsidRPr="009378F5">
          <w:instrText>PAGE   \* MERGEFORMAT</w:instrText>
        </w:r>
        <w:r w:rsidRPr="009378F5">
          <w:fldChar w:fldCharType="separate"/>
        </w:r>
        <w:r w:rsidR="00284C14">
          <w:rPr>
            <w:noProof/>
          </w:rPr>
          <w:t>1</w:t>
        </w:r>
        <w:r w:rsidRPr="009378F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4B6C4" w14:textId="77777777" w:rsidR="00284C14" w:rsidRDefault="00284C14" w:rsidP="002A6A14">
      <w:r>
        <w:separator/>
      </w:r>
    </w:p>
  </w:footnote>
  <w:footnote w:type="continuationSeparator" w:id="0">
    <w:p w14:paraId="433CC509" w14:textId="77777777" w:rsidR="00284C14" w:rsidRDefault="00284C14" w:rsidP="002A6A14">
      <w:r>
        <w:continuationSeparator/>
      </w:r>
    </w:p>
  </w:footnote>
  <w:footnote w:id="1">
    <w:p w14:paraId="22616A0D" w14:textId="77777777" w:rsidR="002A24C1" w:rsidRPr="003A4BCD" w:rsidRDefault="002A24C1" w:rsidP="003A4BCD">
      <w:pPr>
        <w:pStyle w:val="Fodnotetekst"/>
      </w:pPr>
      <w:r>
        <w:rPr>
          <w:rStyle w:val="Fodnotehenvisning"/>
        </w:rPr>
        <w:footnoteRef/>
      </w:r>
      <w:r>
        <w:t xml:space="preserve"> Core countries are Denmark, Finland, Norway and Sweden, while Iceland has also participated in a number of collaborative MDL projects. </w:t>
      </w:r>
    </w:p>
  </w:footnote>
  <w:footnote w:id="2">
    <w:p w14:paraId="0E2E469F" w14:textId="77777777" w:rsidR="002A24C1" w:rsidRPr="001E52F8" w:rsidRDefault="002A24C1" w:rsidP="000C07C8">
      <w:pPr>
        <w:pStyle w:val="Fodnotetekst"/>
      </w:pPr>
      <w:r>
        <w:rPr>
          <w:rStyle w:val="Fodnotehenvisning"/>
        </w:rPr>
        <w:footnoteRef/>
      </w:r>
      <w:r w:rsidRPr="00A1239C">
        <w:t xml:space="preserve"> In all Nordic countries as in the European Commission, dedicated export agencies have been established with the purpose of supporting especially the export opportunities of SMEs, see for instance </w:t>
      </w:r>
      <w:r w:rsidRPr="001E52F8">
        <w:rPr>
          <w:i/>
        </w:rPr>
        <w:t>Det handler om arbejdspladser</w:t>
      </w:r>
      <w:r w:rsidRPr="001E52F8">
        <w:t xml:space="preserve">, Eksportrådets politik for små og mellemstore virksomheder, </w:t>
      </w:r>
      <w:r>
        <w:t>(</w:t>
      </w:r>
      <w:r w:rsidRPr="001E52F8">
        <w:t>Udenrigsministeriet, Eksportrådet,2014</w:t>
      </w:r>
      <w:r>
        <w:t>)</w:t>
      </w:r>
    </w:p>
  </w:footnote>
  <w:footnote w:id="3">
    <w:p w14:paraId="205809B2" w14:textId="77777777" w:rsidR="002A24C1" w:rsidRPr="0097357E" w:rsidRDefault="002A24C1" w:rsidP="000C07C8">
      <w:pPr>
        <w:pStyle w:val="Fodnotetekst"/>
        <w:rPr>
          <w:lang w:val="fi-FI"/>
        </w:rPr>
      </w:pPr>
      <w:r>
        <w:rPr>
          <w:rStyle w:val="Fodnotehenvisning"/>
        </w:rPr>
        <w:footnoteRef/>
      </w:r>
      <w:r>
        <w:t xml:space="preserve"> </w:t>
      </w:r>
      <w:r>
        <w:rPr>
          <w:lang w:val="fi-FI"/>
        </w:rPr>
        <w:t>Gabaix (2011)</w:t>
      </w:r>
    </w:p>
  </w:footnote>
  <w:footnote w:id="4">
    <w:p w14:paraId="6C78B386" w14:textId="77777777" w:rsidR="002A24C1" w:rsidRPr="0097357E" w:rsidRDefault="002A24C1" w:rsidP="000C07C8">
      <w:pPr>
        <w:pStyle w:val="Fodnotetekst"/>
        <w:rPr>
          <w:lang w:val="en-US"/>
        </w:rPr>
      </w:pPr>
      <w:r>
        <w:rPr>
          <w:rStyle w:val="Fodnotehenvisning"/>
        </w:rPr>
        <w:footnoteRef/>
      </w:r>
      <w:r>
        <w:t xml:space="preserve"> Fornaro &amp; Luomaranta (2018) provides a Finnish example</w:t>
      </w:r>
    </w:p>
  </w:footnote>
  <w:footnote w:id="5">
    <w:p w14:paraId="00F6D5E1" w14:textId="5C4B3223" w:rsidR="00AB3EE2" w:rsidRPr="00AB3EE2" w:rsidRDefault="00AB3EE2" w:rsidP="00AB3EE2">
      <w:pPr>
        <w:rPr>
          <w:rFonts w:ascii="Calibri" w:hAnsi="Calibri" w:cs="Calibri"/>
          <w:sz w:val="22"/>
          <w:szCs w:val="22"/>
          <w:lang w:val="en-US"/>
        </w:rPr>
      </w:pPr>
      <w:r>
        <w:rPr>
          <w:rStyle w:val="Fodnotehenvisning"/>
        </w:rPr>
        <w:footnoteRef/>
      </w:r>
      <w:r>
        <w:t xml:space="preserve"> </w:t>
      </w:r>
      <w:r w:rsidRPr="00AB3EE2">
        <w:rPr>
          <w:lang w:val="en-US"/>
        </w:rPr>
        <w:t>The project</w:t>
      </w:r>
      <w:r>
        <w:rPr>
          <w:lang w:val="en-US"/>
        </w:rPr>
        <w:t xml:space="preserve"> “Nordic countries’ role in the value creation of global firms” is carried out for Vinnova, the Swedish Innovation Agency. </w:t>
      </w:r>
      <w:r w:rsidRPr="00AB3EE2">
        <w:rPr>
          <w:lang w:val="en-US"/>
        </w:rPr>
        <w:t xml:space="preserve"> </w:t>
      </w:r>
      <w:bookmarkStart w:id="0" w:name="_GoBack"/>
      <w:bookmarkEnd w:id="0"/>
    </w:p>
    <w:p w14:paraId="06C9373A" w14:textId="324336DE" w:rsidR="00AB3EE2" w:rsidRPr="00AB3EE2" w:rsidRDefault="00AB3EE2">
      <w:pPr>
        <w:pStyle w:val="Fodnotetekst"/>
        <w:rPr>
          <w:lang w:val="en-US"/>
        </w:rPr>
      </w:pPr>
      <w:r w:rsidRPr="00AB3EE2">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9520" w14:textId="77777777" w:rsidR="002A24C1" w:rsidRDefault="00284C14" w:rsidP="002A6A14">
    <w:pPr>
      <w:pStyle w:val="Sidehoved"/>
    </w:pPr>
    <w:r>
      <w:rPr>
        <w:noProof/>
        <w:lang w:eastAsia="pl-PL"/>
      </w:rPr>
      <w:pict w14:anchorId="31DFB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CDEA" w14:textId="77777777" w:rsidR="002A24C1" w:rsidRPr="000B0921" w:rsidRDefault="002A24C1" w:rsidP="002A6A14">
    <w:pPr>
      <w:pStyle w:val="Sidehoved"/>
    </w:pPr>
    <w:r>
      <w:rPr>
        <w:noProof/>
        <w:lang w:val="da-DK" w:eastAsia="da-DK"/>
      </w:rPr>
      <w:drawing>
        <wp:inline distT="0" distB="0" distL="0" distR="0" wp14:anchorId="6ED2C69B" wp14:editId="271A19E7">
          <wp:extent cx="1333500" cy="501934"/>
          <wp:effectExtent l="0" t="0" r="0" b="0"/>
          <wp:docPr id="4" name="Kuva 4">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B9C03" w14:textId="77777777" w:rsidR="002A24C1" w:rsidRDefault="00284C14" w:rsidP="002A6A14">
    <w:pPr>
      <w:pStyle w:val="Sidehoved"/>
    </w:pPr>
    <w:r>
      <w:rPr>
        <w:noProof/>
        <w:lang w:eastAsia="pl-PL"/>
      </w:rPr>
      <w:pict w14:anchorId="2F607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6BAA"/>
    <w:multiLevelType w:val="multilevel"/>
    <w:tmpl w:val="909C5550"/>
    <w:lvl w:ilvl="0">
      <w:start w:val="1"/>
      <w:numFmt w:val="decimal"/>
      <w:pStyle w:val="Overskrift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 w15:restartNumberingAfterBreak="0">
    <w:nsid w:val="2DF3113D"/>
    <w:multiLevelType w:val="hybridMultilevel"/>
    <w:tmpl w:val="E6D6409A"/>
    <w:lvl w:ilvl="0" w:tplc="0406000F">
      <w:start w:val="1"/>
      <w:numFmt w:val="decimal"/>
      <w:lvlText w:val="%1."/>
      <w:lvlJc w:val="left"/>
      <w:pPr>
        <w:ind w:left="788" w:hanging="360"/>
      </w:pPr>
    </w:lvl>
    <w:lvl w:ilvl="1" w:tplc="04060019">
      <w:start w:val="1"/>
      <w:numFmt w:val="lowerLetter"/>
      <w:lvlText w:val="%2."/>
      <w:lvlJc w:val="left"/>
      <w:pPr>
        <w:ind w:left="1508" w:hanging="360"/>
      </w:pPr>
    </w:lvl>
    <w:lvl w:ilvl="2" w:tplc="0406001B" w:tentative="1">
      <w:start w:val="1"/>
      <w:numFmt w:val="lowerRoman"/>
      <w:lvlText w:val="%3."/>
      <w:lvlJc w:val="right"/>
      <w:pPr>
        <w:ind w:left="2228" w:hanging="180"/>
      </w:pPr>
    </w:lvl>
    <w:lvl w:ilvl="3" w:tplc="0406000F" w:tentative="1">
      <w:start w:val="1"/>
      <w:numFmt w:val="decimal"/>
      <w:lvlText w:val="%4."/>
      <w:lvlJc w:val="left"/>
      <w:pPr>
        <w:ind w:left="2948" w:hanging="360"/>
      </w:pPr>
    </w:lvl>
    <w:lvl w:ilvl="4" w:tplc="04060019" w:tentative="1">
      <w:start w:val="1"/>
      <w:numFmt w:val="lowerLetter"/>
      <w:lvlText w:val="%5."/>
      <w:lvlJc w:val="left"/>
      <w:pPr>
        <w:ind w:left="3668" w:hanging="360"/>
      </w:pPr>
    </w:lvl>
    <w:lvl w:ilvl="5" w:tplc="0406001B" w:tentative="1">
      <w:start w:val="1"/>
      <w:numFmt w:val="lowerRoman"/>
      <w:lvlText w:val="%6."/>
      <w:lvlJc w:val="right"/>
      <w:pPr>
        <w:ind w:left="4388" w:hanging="180"/>
      </w:pPr>
    </w:lvl>
    <w:lvl w:ilvl="6" w:tplc="0406000F" w:tentative="1">
      <w:start w:val="1"/>
      <w:numFmt w:val="decimal"/>
      <w:lvlText w:val="%7."/>
      <w:lvlJc w:val="left"/>
      <w:pPr>
        <w:ind w:left="5108" w:hanging="360"/>
      </w:pPr>
    </w:lvl>
    <w:lvl w:ilvl="7" w:tplc="04060019" w:tentative="1">
      <w:start w:val="1"/>
      <w:numFmt w:val="lowerLetter"/>
      <w:lvlText w:val="%8."/>
      <w:lvlJc w:val="left"/>
      <w:pPr>
        <w:ind w:left="5828" w:hanging="360"/>
      </w:pPr>
    </w:lvl>
    <w:lvl w:ilvl="8" w:tplc="0406001B" w:tentative="1">
      <w:start w:val="1"/>
      <w:numFmt w:val="lowerRoman"/>
      <w:lvlText w:val="%9."/>
      <w:lvlJc w:val="right"/>
      <w:pPr>
        <w:ind w:left="6548" w:hanging="180"/>
      </w:p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55E139E"/>
    <w:multiLevelType w:val="hybridMultilevel"/>
    <w:tmpl w:val="54FC9C22"/>
    <w:lvl w:ilvl="0" w:tplc="0FB6F9B2">
      <w:numFmt w:val="bullet"/>
      <w:lvlText w:val="-"/>
      <w:lvlJc w:val="left"/>
      <w:pPr>
        <w:ind w:left="720" w:hanging="360"/>
      </w:pPr>
      <w:rPr>
        <w:rFonts w:ascii="Arial" w:eastAsiaTheme="minorHAnsi" w:hAnsi="Arial" w:cs="Arial" w:hint="default"/>
        <w:u w:val="singl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0525402"/>
    <w:multiLevelType w:val="hybridMultilevel"/>
    <w:tmpl w:val="4A0C0850"/>
    <w:lvl w:ilvl="0" w:tplc="35A0C1C6">
      <w:start w:val="1"/>
      <w:numFmt w:val="bullet"/>
      <w:lvlText w:val="•"/>
      <w:lvlJc w:val="left"/>
      <w:pPr>
        <w:tabs>
          <w:tab w:val="num" w:pos="720"/>
        </w:tabs>
        <w:ind w:left="720" w:hanging="360"/>
      </w:pPr>
      <w:rPr>
        <w:rFonts w:ascii="Arial" w:hAnsi="Arial" w:hint="default"/>
      </w:rPr>
    </w:lvl>
    <w:lvl w:ilvl="1" w:tplc="7A22FD08" w:tentative="1">
      <w:start w:val="1"/>
      <w:numFmt w:val="bullet"/>
      <w:lvlText w:val="•"/>
      <w:lvlJc w:val="left"/>
      <w:pPr>
        <w:tabs>
          <w:tab w:val="num" w:pos="1440"/>
        </w:tabs>
        <w:ind w:left="1440" w:hanging="360"/>
      </w:pPr>
      <w:rPr>
        <w:rFonts w:ascii="Arial" w:hAnsi="Arial" w:hint="default"/>
      </w:rPr>
    </w:lvl>
    <w:lvl w:ilvl="2" w:tplc="C6C4D524" w:tentative="1">
      <w:start w:val="1"/>
      <w:numFmt w:val="bullet"/>
      <w:lvlText w:val="•"/>
      <w:lvlJc w:val="left"/>
      <w:pPr>
        <w:tabs>
          <w:tab w:val="num" w:pos="2160"/>
        </w:tabs>
        <w:ind w:left="2160" w:hanging="360"/>
      </w:pPr>
      <w:rPr>
        <w:rFonts w:ascii="Arial" w:hAnsi="Arial" w:hint="default"/>
      </w:rPr>
    </w:lvl>
    <w:lvl w:ilvl="3" w:tplc="4A981C88" w:tentative="1">
      <w:start w:val="1"/>
      <w:numFmt w:val="bullet"/>
      <w:lvlText w:val="•"/>
      <w:lvlJc w:val="left"/>
      <w:pPr>
        <w:tabs>
          <w:tab w:val="num" w:pos="2880"/>
        </w:tabs>
        <w:ind w:left="2880" w:hanging="360"/>
      </w:pPr>
      <w:rPr>
        <w:rFonts w:ascii="Arial" w:hAnsi="Arial" w:hint="default"/>
      </w:rPr>
    </w:lvl>
    <w:lvl w:ilvl="4" w:tplc="0090F5D6" w:tentative="1">
      <w:start w:val="1"/>
      <w:numFmt w:val="bullet"/>
      <w:lvlText w:val="•"/>
      <w:lvlJc w:val="left"/>
      <w:pPr>
        <w:tabs>
          <w:tab w:val="num" w:pos="3600"/>
        </w:tabs>
        <w:ind w:left="3600" w:hanging="360"/>
      </w:pPr>
      <w:rPr>
        <w:rFonts w:ascii="Arial" w:hAnsi="Arial" w:hint="default"/>
      </w:rPr>
    </w:lvl>
    <w:lvl w:ilvl="5" w:tplc="9DD0AD5C" w:tentative="1">
      <w:start w:val="1"/>
      <w:numFmt w:val="bullet"/>
      <w:lvlText w:val="•"/>
      <w:lvlJc w:val="left"/>
      <w:pPr>
        <w:tabs>
          <w:tab w:val="num" w:pos="4320"/>
        </w:tabs>
        <w:ind w:left="4320" w:hanging="360"/>
      </w:pPr>
      <w:rPr>
        <w:rFonts w:ascii="Arial" w:hAnsi="Arial" w:hint="default"/>
      </w:rPr>
    </w:lvl>
    <w:lvl w:ilvl="6" w:tplc="2E56115A" w:tentative="1">
      <w:start w:val="1"/>
      <w:numFmt w:val="bullet"/>
      <w:lvlText w:val="•"/>
      <w:lvlJc w:val="left"/>
      <w:pPr>
        <w:tabs>
          <w:tab w:val="num" w:pos="5040"/>
        </w:tabs>
        <w:ind w:left="5040" w:hanging="360"/>
      </w:pPr>
      <w:rPr>
        <w:rFonts w:ascii="Arial" w:hAnsi="Arial" w:hint="default"/>
      </w:rPr>
    </w:lvl>
    <w:lvl w:ilvl="7" w:tplc="000C3862" w:tentative="1">
      <w:start w:val="1"/>
      <w:numFmt w:val="bullet"/>
      <w:lvlText w:val="•"/>
      <w:lvlJc w:val="left"/>
      <w:pPr>
        <w:tabs>
          <w:tab w:val="num" w:pos="5760"/>
        </w:tabs>
        <w:ind w:left="5760" w:hanging="360"/>
      </w:pPr>
      <w:rPr>
        <w:rFonts w:ascii="Arial" w:hAnsi="Arial" w:hint="default"/>
      </w:rPr>
    </w:lvl>
    <w:lvl w:ilvl="8" w:tplc="8026A5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63E7236"/>
    <w:multiLevelType w:val="multilevel"/>
    <w:tmpl w:val="42007CC0"/>
    <w:lvl w:ilvl="0">
      <w:start w:val="1"/>
      <w:numFmt w:val="decimal"/>
      <w:pStyle w:val="Talliste"/>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4"/>
      <w:lvlJc w:val="left"/>
      <w:pPr>
        <w:ind w:left="1021"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2"/>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savePreviewPicture/>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33000"/>
    <w:rsid w:val="00047C24"/>
    <w:rsid w:val="00061786"/>
    <w:rsid w:val="00070925"/>
    <w:rsid w:val="0007704A"/>
    <w:rsid w:val="00084A73"/>
    <w:rsid w:val="0008759E"/>
    <w:rsid w:val="00090401"/>
    <w:rsid w:val="000957CC"/>
    <w:rsid w:val="000A5CAE"/>
    <w:rsid w:val="000B0921"/>
    <w:rsid w:val="000C07C8"/>
    <w:rsid w:val="000C61FC"/>
    <w:rsid w:val="000C6472"/>
    <w:rsid w:val="000D63FF"/>
    <w:rsid w:val="000D705A"/>
    <w:rsid w:val="000F2678"/>
    <w:rsid w:val="000F337F"/>
    <w:rsid w:val="000F7F1A"/>
    <w:rsid w:val="00105FAE"/>
    <w:rsid w:val="00107479"/>
    <w:rsid w:val="0011262B"/>
    <w:rsid w:val="00114E8D"/>
    <w:rsid w:val="00133E07"/>
    <w:rsid w:val="00137037"/>
    <w:rsid w:val="0014172A"/>
    <w:rsid w:val="00142A8D"/>
    <w:rsid w:val="00145E53"/>
    <w:rsid w:val="00156AB3"/>
    <w:rsid w:val="00157DAD"/>
    <w:rsid w:val="00160406"/>
    <w:rsid w:val="0016372C"/>
    <w:rsid w:val="0016743D"/>
    <w:rsid w:val="00182357"/>
    <w:rsid w:val="001D1A3A"/>
    <w:rsid w:val="001D4E31"/>
    <w:rsid w:val="001D6B0C"/>
    <w:rsid w:val="001E0006"/>
    <w:rsid w:val="001E43DC"/>
    <w:rsid w:val="001F0FA6"/>
    <w:rsid w:val="00221F17"/>
    <w:rsid w:val="00234927"/>
    <w:rsid w:val="0023623C"/>
    <w:rsid w:val="00241CBB"/>
    <w:rsid w:val="00242620"/>
    <w:rsid w:val="00247CD3"/>
    <w:rsid w:val="00254F0E"/>
    <w:rsid w:val="002606D1"/>
    <w:rsid w:val="0028150C"/>
    <w:rsid w:val="00282B53"/>
    <w:rsid w:val="002830DE"/>
    <w:rsid w:val="00283E9A"/>
    <w:rsid w:val="00284C14"/>
    <w:rsid w:val="00293580"/>
    <w:rsid w:val="002A24C1"/>
    <w:rsid w:val="002A6A14"/>
    <w:rsid w:val="002B3DFD"/>
    <w:rsid w:val="002B6D33"/>
    <w:rsid w:val="002D3714"/>
    <w:rsid w:val="00306EA0"/>
    <w:rsid w:val="0031686B"/>
    <w:rsid w:val="00326CF7"/>
    <w:rsid w:val="00335E1D"/>
    <w:rsid w:val="00336E21"/>
    <w:rsid w:val="00353DCE"/>
    <w:rsid w:val="0035694D"/>
    <w:rsid w:val="00360387"/>
    <w:rsid w:val="00362815"/>
    <w:rsid w:val="003767F4"/>
    <w:rsid w:val="0038617F"/>
    <w:rsid w:val="003A036A"/>
    <w:rsid w:val="003A1D16"/>
    <w:rsid w:val="003A4BCD"/>
    <w:rsid w:val="003D0235"/>
    <w:rsid w:val="003D55A2"/>
    <w:rsid w:val="00413834"/>
    <w:rsid w:val="004150F5"/>
    <w:rsid w:val="004740F1"/>
    <w:rsid w:val="00493026"/>
    <w:rsid w:val="004A12A7"/>
    <w:rsid w:val="004A1A99"/>
    <w:rsid w:val="004B39C1"/>
    <w:rsid w:val="004B6729"/>
    <w:rsid w:val="004C5048"/>
    <w:rsid w:val="004D6574"/>
    <w:rsid w:val="004F04B4"/>
    <w:rsid w:val="005046B7"/>
    <w:rsid w:val="005215E8"/>
    <w:rsid w:val="00525E22"/>
    <w:rsid w:val="00526A16"/>
    <w:rsid w:val="00530FD6"/>
    <w:rsid w:val="00544D9F"/>
    <w:rsid w:val="00544E4F"/>
    <w:rsid w:val="00560F00"/>
    <w:rsid w:val="005812C5"/>
    <w:rsid w:val="00581AAC"/>
    <w:rsid w:val="005A1F57"/>
    <w:rsid w:val="005B6971"/>
    <w:rsid w:val="005F1DBE"/>
    <w:rsid w:val="006052BF"/>
    <w:rsid w:val="006246E2"/>
    <w:rsid w:val="00653D6C"/>
    <w:rsid w:val="00667788"/>
    <w:rsid w:val="006700C3"/>
    <w:rsid w:val="0068746F"/>
    <w:rsid w:val="0069009D"/>
    <w:rsid w:val="00696701"/>
    <w:rsid w:val="00697934"/>
    <w:rsid w:val="006B1F86"/>
    <w:rsid w:val="006B5A4A"/>
    <w:rsid w:val="006C5879"/>
    <w:rsid w:val="006F2EA2"/>
    <w:rsid w:val="00703CD4"/>
    <w:rsid w:val="007214D6"/>
    <w:rsid w:val="00724460"/>
    <w:rsid w:val="00724FC8"/>
    <w:rsid w:val="0073562E"/>
    <w:rsid w:val="00741621"/>
    <w:rsid w:val="0075529B"/>
    <w:rsid w:val="007730C4"/>
    <w:rsid w:val="00776C97"/>
    <w:rsid w:val="00783854"/>
    <w:rsid w:val="007B0D73"/>
    <w:rsid w:val="007B0FBC"/>
    <w:rsid w:val="007B2114"/>
    <w:rsid w:val="007B29A8"/>
    <w:rsid w:val="007C0E37"/>
    <w:rsid w:val="007E2C00"/>
    <w:rsid w:val="007E6D8C"/>
    <w:rsid w:val="0082373C"/>
    <w:rsid w:val="00827971"/>
    <w:rsid w:val="00845BF9"/>
    <w:rsid w:val="00847C76"/>
    <w:rsid w:val="0085097B"/>
    <w:rsid w:val="00860B1A"/>
    <w:rsid w:val="00867B2C"/>
    <w:rsid w:val="00873330"/>
    <w:rsid w:val="00881108"/>
    <w:rsid w:val="00883326"/>
    <w:rsid w:val="00887148"/>
    <w:rsid w:val="008A71D2"/>
    <w:rsid w:val="008B0935"/>
    <w:rsid w:val="008D12D6"/>
    <w:rsid w:val="008D56E1"/>
    <w:rsid w:val="008D6094"/>
    <w:rsid w:val="00902A7F"/>
    <w:rsid w:val="009174BC"/>
    <w:rsid w:val="00935287"/>
    <w:rsid w:val="009378F5"/>
    <w:rsid w:val="00973B8D"/>
    <w:rsid w:val="00985C7B"/>
    <w:rsid w:val="009B0C0A"/>
    <w:rsid w:val="009D44B0"/>
    <w:rsid w:val="009E347D"/>
    <w:rsid w:val="00A23816"/>
    <w:rsid w:val="00A454B6"/>
    <w:rsid w:val="00A531F2"/>
    <w:rsid w:val="00A6013E"/>
    <w:rsid w:val="00A82708"/>
    <w:rsid w:val="00A85335"/>
    <w:rsid w:val="00A860B0"/>
    <w:rsid w:val="00AB3EE2"/>
    <w:rsid w:val="00AD1423"/>
    <w:rsid w:val="00AD4AEE"/>
    <w:rsid w:val="00B32FAB"/>
    <w:rsid w:val="00B47197"/>
    <w:rsid w:val="00B5472A"/>
    <w:rsid w:val="00B601BE"/>
    <w:rsid w:val="00B72169"/>
    <w:rsid w:val="00B74218"/>
    <w:rsid w:val="00B766D5"/>
    <w:rsid w:val="00B77A7F"/>
    <w:rsid w:val="00B86FC7"/>
    <w:rsid w:val="00B912C3"/>
    <w:rsid w:val="00BA4F78"/>
    <w:rsid w:val="00BB19AC"/>
    <w:rsid w:val="00BB5A91"/>
    <w:rsid w:val="00BC26CE"/>
    <w:rsid w:val="00BC7A4B"/>
    <w:rsid w:val="00BF6DBC"/>
    <w:rsid w:val="00C01F47"/>
    <w:rsid w:val="00C16E8E"/>
    <w:rsid w:val="00C261EA"/>
    <w:rsid w:val="00C40213"/>
    <w:rsid w:val="00C444A7"/>
    <w:rsid w:val="00C46B57"/>
    <w:rsid w:val="00C47B34"/>
    <w:rsid w:val="00C55909"/>
    <w:rsid w:val="00C726EA"/>
    <w:rsid w:val="00C74A1D"/>
    <w:rsid w:val="00C7756D"/>
    <w:rsid w:val="00C92747"/>
    <w:rsid w:val="00C96992"/>
    <w:rsid w:val="00CB2B44"/>
    <w:rsid w:val="00CB4074"/>
    <w:rsid w:val="00CC1C1D"/>
    <w:rsid w:val="00CC357B"/>
    <w:rsid w:val="00CD1817"/>
    <w:rsid w:val="00CF33AD"/>
    <w:rsid w:val="00CF50FF"/>
    <w:rsid w:val="00CF656A"/>
    <w:rsid w:val="00D00224"/>
    <w:rsid w:val="00D01603"/>
    <w:rsid w:val="00D0258C"/>
    <w:rsid w:val="00D0270E"/>
    <w:rsid w:val="00D20550"/>
    <w:rsid w:val="00D3638C"/>
    <w:rsid w:val="00D466B6"/>
    <w:rsid w:val="00D52194"/>
    <w:rsid w:val="00D65C24"/>
    <w:rsid w:val="00D744EE"/>
    <w:rsid w:val="00D94112"/>
    <w:rsid w:val="00DA50A8"/>
    <w:rsid w:val="00DA74F6"/>
    <w:rsid w:val="00DB4182"/>
    <w:rsid w:val="00DB5AF2"/>
    <w:rsid w:val="00DD4526"/>
    <w:rsid w:val="00DD4977"/>
    <w:rsid w:val="00DE01B4"/>
    <w:rsid w:val="00DE765C"/>
    <w:rsid w:val="00DF27A8"/>
    <w:rsid w:val="00DF43EA"/>
    <w:rsid w:val="00E261EB"/>
    <w:rsid w:val="00E7228E"/>
    <w:rsid w:val="00E82B25"/>
    <w:rsid w:val="00E92831"/>
    <w:rsid w:val="00E9313B"/>
    <w:rsid w:val="00EB7A63"/>
    <w:rsid w:val="00EC5F5A"/>
    <w:rsid w:val="00EE4A70"/>
    <w:rsid w:val="00F04B8F"/>
    <w:rsid w:val="00F30C27"/>
    <w:rsid w:val="00F51570"/>
    <w:rsid w:val="00F66BA9"/>
    <w:rsid w:val="00F74EA2"/>
    <w:rsid w:val="00F751A2"/>
    <w:rsid w:val="00F941B3"/>
    <w:rsid w:val="00FA5ABE"/>
    <w:rsid w:val="00FB2E4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5C9D830"/>
  <w15:docId w15:val="{F5B22B8A-2BDC-40B1-BB87-D171AFC5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F50FF"/>
    <w:pPr>
      <w:keepNext/>
      <w:keepLines/>
      <w:numPr>
        <w:ilvl w:val="2"/>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unhideWhenUsed/>
    <w:rsid w:val="00F30C27"/>
    <w:pPr>
      <w:spacing w:line="240" w:lineRule="auto"/>
    </w:pPr>
    <w:rPr>
      <w:sz w:val="20"/>
      <w:szCs w:val="20"/>
    </w:rPr>
  </w:style>
  <w:style w:type="character" w:customStyle="1" w:styleId="FodnotetekstTegn">
    <w:name w:val="Fodnotetekst Tegn"/>
    <w:basedOn w:val="Standardskrifttypeiafsnit"/>
    <w:link w:val="Fodnotetekst"/>
    <w:uiPriority w:val="99"/>
    <w:rsid w:val="00F30C27"/>
    <w:rPr>
      <w:sz w:val="20"/>
      <w:szCs w:val="20"/>
    </w:rPr>
  </w:style>
  <w:style w:type="character" w:styleId="Fodnotehenvisning">
    <w:name w:val="footnote reference"/>
    <w:basedOn w:val="Standardskrifttypeiafsnit"/>
    <w:semiHidden/>
    <w:unhideWhenUsed/>
    <w:rsid w:val="00F30C27"/>
    <w:rPr>
      <w:vertAlign w:val="superscript"/>
    </w:rPr>
  </w:style>
  <w:style w:type="paragraph" w:styleId="Billed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typeiafsnit"/>
    <w:link w:val="Overskrift2"/>
    <w:uiPriority w:val="9"/>
    <w:rsid w:val="00544D9F"/>
    <w:rPr>
      <w:rFonts w:ascii="Arial" w:eastAsiaTheme="majorEastAsia" w:hAnsi="Arial" w:cstheme="majorBidi"/>
      <w:b/>
      <w:sz w:val="24"/>
      <w:szCs w:val="26"/>
    </w:rPr>
  </w:style>
  <w:style w:type="paragraph" w:styleId="Titel">
    <w:name w:val="Title"/>
    <w:basedOn w:val="Normal"/>
    <w:next w:val="Normal"/>
    <w:link w:val="Ti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character" w:customStyle="1" w:styleId="Overskrift1Tegn">
    <w:name w:val="Overskrift 1 Tegn"/>
    <w:basedOn w:val="Standardskrifttypeiafsni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typeiafsnit"/>
    <w:link w:val="Overskrift3"/>
    <w:uiPriority w:val="9"/>
    <w:rsid w:val="00CF50FF"/>
    <w:rPr>
      <w:rFonts w:ascii="Arial" w:eastAsiaTheme="majorEastAsia" w:hAnsi="Arial" w:cstheme="majorBidi"/>
      <w:i/>
      <w:sz w:val="24"/>
      <w:szCs w:val="24"/>
    </w:rPr>
  </w:style>
  <w:style w:type="character" w:customStyle="1" w:styleId="Overskrift4Tegn">
    <w:name w:val="Overskrift 4 Tegn"/>
    <w:basedOn w:val="Standardskrifttypeiafsnit"/>
    <w:link w:val="Overskrift4"/>
    <w:uiPriority w:val="9"/>
    <w:semiHidden/>
    <w:rsid w:val="002B3DF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2B3DF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2B3DF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2B3DF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typeiafsnit"/>
    <w:link w:val="Abstrakti"/>
    <w:rsid w:val="002A6A14"/>
    <w:rPr>
      <w:rFonts w:ascii="Arial" w:hAnsi="Arial" w:cs="Arial"/>
      <w:i/>
      <w:sz w:val="20"/>
      <w:szCs w:val="20"/>
      <w:lang w:val="en-GB"/>
    </w:rPr>
  </w:style>
  <w:style w:type="character" w:customStyle="1" w:styleId="KirjoittajaChar">
    <w:name w:val="Kirjoittaja Char"/>
    <w:basedOn w:val="Standardskrifttypeiafsnit"/>
    <w:link w:val="Kirjoittaja"/>
    <w:rsid w:val="002A6A14"/>
    <w:rPr>
      <w:rFonts w:ascii="Arial" w:hAnsi="Arial" w:cs="Arial"/>
      <w:sz w:val="24"/>
      <w:szCs w:val="24"/>
      <w:lang w:val="en-US"/>
    </w:rPr>
  </w:style>
  <w:style w:type="paragraph" w:customStyle="1" w:styleId="Talliste">
    <w:name w:val="Talliste"/>
    <w:basedOn w:val="Brdtekst"/>
    <w:uiPriority w:val="3"/>
    <w:qFormat/>
    <w:rsid w:val="00B601BE"/>
    <w:pPr>
      <w:numPr>
        <w:numId w:val="6"/>
      </w:numPr>
      <w:tabs>
        <w:tab w:val="clear" w:pos="340"/>
        <w:tab w:val="num" w:pos="360"/>
      </w:tabs>
      <w:spacing w:before="60" w:after="0" w:line="280" w:lineRule="atLeast"/>
      <w:ind w:left="0" w:firstLine="0"/>
      <w:jc w:val="left"/>
    </w:pPr>
    <w:rPr>
      <w:rFonts w:ascii="Cambria" w:eastAsia="Times New Roman" w:hAnsi="Cambria" w:cs="Times New Roman"/>
      <w:sz w:val="21"/>
      <w:lang w:eastAsia="da-DK"/>
    </w:rPr>
  </w:style>
  <w:style w:type="table" w:customStyle="1" w:styleId="NMRtabel">
    <w:name w:val="NMR tabel"/>
    <w:basedOn w:val="Tabel-Normal"/>
    <w:uiPriority w:val="99"/>
    <w:rsid w:val="00B601BE"/>
    <w:pPr>
      <w:spacing w:after="0" w:line="240" w:lineRule="auto"/>
    </w:pPr>
    <w:rPr>
      <w:lang w:val="da-DK"/>
    </w:rPr>
    <w:tblPr>
      <w:tblCellMar>
        <w:top w:w="57" w:type="dxa"/>
        <w:left w:w="85" w:type="dxa"/>
        <w:bottom w:w="57" w:type="dxa"/>
        <w:right w:w="85" w:type="dxa"/>
      </w:tblCellMar>
    </w:tblPr>
    <w:tcPr>
      <w:shd w:val="clear" w:color="auto" w:fill="auto"/>
    </w:tcPr>
    <w:tblStylePr w:type="firstRow">
      <w:tblPr/>
      <w:tcPr>
        <w:shd w:val="clear" w:color="auto" w:fill="9DC9DF"/>
        <w:tcMar>
          <w:top w:w="0" w:type="dxa"/>
          <w:left w:w="0" w:type="nil"/>
          <w:bottom w:w="0" w:type="dxa"/>
          <w:right w:w="0" w:type="nil"/>
        </w:tcMar>
      </w:tcPr>
    </w:tblStylePr>
    <w:tblStylePr w:type="lastRow">
      <w:tblPr/>
      <w:tcPr>
        <w:tcBorders>
          <w:bottom w:val="single" w:sz="4" w:space="0" w:color="000000" w:themeColor="text1"/>
        </w:tcBorders>
        <w:tcMar>
          <w:top w:w="0" w:type="nil"/>
          <w:left w:w="0" w:type="nil"/>
          <w:bottom w:w="113" w:type="dxa"/>
          <w:right w:w="0" w:type="nil"/>
        </w:tcMar>
      </w:tcPr>
    </w:tblStylePr>
    <w:tblStylePr w:type="firstCol">
      <w:pPr>
        <w:jc w:val="left"/>
      </w:pPr>
      <w:tblPr>
        <w:tblCellMar>
          <w:top w:w="28" w:type="dxa"/>
          <w:left w:w="57" w:type="dxa"/>
          <w:bottom w:w="28" w:type="dxa"/>
          <w:right w:w="57" w:type="dxa"/>
        </w:tblCellMar>
      </w:tblPr>
    </w:tblStylePr>
  </w:style>
  <w:style w:type="paragraph" w:styleId="Brdtekst">
    <w:name w:val="Body Text"/>
    <w:basedOn w:val="Normal"/>
    <w:link w:val="BrdtekstTegn"/>
    <w:uiPriority w:val="99"/>
    <w:semiHidden/>
    <w:unhideWhenUsed/>
    <w:rsid w:val="00B601BE"/>
    <w:pPr>
      <w:spacing w:after="120"/>
    </w:pPr>
  </w:style>
  <w:style w:type="character" w:customStyle="1" w:styleId="BrdtekstTegn">
    <w:name w:val="Brødtekst Tegn"/>
    <w:basedOn w:val="Standardskrifttypeiafsnit"/>
    <w:link w:val="Brdtekst"/>
    <w:uiPriority w:val="99"/>
    <w:semiHidden/>
    <w:rsid w:val="00B601BE"/>
    <w:rPr>
      <w:rFonts w:ascii="Arial" w:hAnsi="Arial" w:cs="Arial"/>
      <w:sz w:val="24"/>
      <w:szCs w:val="24"/>
      <w:lang w:val="en-GB"/>
    </w:rPr>
  </w:style>
  <w:style w:type="paragraph" w:styleId="NormalWeb">
    <w:name w:val="Normal (Web)"/>
    <w:basedOn w:val="Normal"/>
    <w:uiPriority w:val="99"/>
    <w:semiHidden/>
    <w:unhideWhenUsed/>
    <w:rsid w:val="002830DE"/>
    <w:pPr>
      <w:spacing w:before="100" w:beforeAutospacing="1" w:after="100" w:afterAutospacing="1" w:line="240" w:lineRule="auto"/>
      <w:jc w:val="left"/>
    </w:pPr>
    <w:rPr>
      <w:rFonts w:ascii="Times New Roman" w:eastAsiaTheme="minorEastAsia" w:hAnsi="Times New Roman" w:cs="Times New Roman"/>
      <w:lang w:val="da-DK" w:eastAsia="da-DK"/>
    </w:rPr>
  </w:style>
  <w:style w:type="paragraph" w:styleId="Korrektur">
    <w:name w:val="Revision"/>
    <w:hidden/>
    <w:uiPriority w:val="99"/>
    <w:semiHidden/>
    <w:rsid w:val="00C46B57"/>
    <w:pPr>
      <w:spacing w:after="0" w:line="240" w:lineRule="auto"/>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1927368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Poldahl@scb.se" TargetMode="External"/><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QuickStyle" Target="diagrams/quickStyle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1.xml"/><Relationship Id="rId28" Type="http://schemas.openxmlformats.org/officeDocument/2006/relationships/header" Target="header1.xml"/><Relationship Id="rId10" Type="http://schemas.openxmlformats.org/officeDocument/2006/relationships/hyperlink" Target="mailto:jlk@dst.dk" TargetMode="External"/><Relationship Id="rId19" Type="http://schemas.openxmlformats.org/officeDocument/2006/relationships/diagramLayout" Target="diagrams/layout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nri.luomaranta@stat.fi" TargetMode="External"/><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image" Target="media/image6.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as2\fkontor\Firma_udenrigshandel\NMR%20OECD%202016\Publikation\Figur%20beskrivelse%20MEN%2012juli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631593550735969E-2"/>
          <c:y val="0.10691039426523299"/>
          <c:w val="0.8942111402741324"/>
          <c:h val="0.48205241935483872"/>
        </c:manualLayout>
      </c:layout>
      <c:barChart>
        <c:barDir val="col"/>
        <c:grouping val="stacked"/>
        <c:varyColors val="0"/>
        <c:ser>
          <c:idx val="0"/>
          <c:order val="0"/>
          <c:tx>
            <c:strRef>
              <c:f>size_3!$B$33</c:f>
              <c:strCache>
                <c:ptCount val="1"/>
                <c:pt idx="0">
                  <c:v>Independent SMEs</c:v>
                </c:pt>
              </c:strCache>
            </c:strRef>
          </c:tx>
          <c:spPr>
            <a:solidFill>
              <a:srgbClr val="373389"/>
            </a:solidFill>
          </c:spPr>
          <c:invertIfNegative val="0"/>
          <c:dLbls>
            <c:spPr>
              <a:noFill/>
              <a:ln>
                <a:noFill/>
              </a:ln>
              <a:effectLst/>
            </c:spPr>
            <c:txPr>
              <a:bodyPr/>
              <a:lstStyle/>
              <a:p>
                <a:pPr>
                  <a:defRPr>
                    <a:solidFill>
                      <a:schemeClr val="bg1"/>
                    </a:solidFill>
                  </a:defRPr>
                </a:pPr>
                <a:endParaRPr lang="da-D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(size_3!$C$31:$D$32,size_3!$F$31:$I$32,size_3!$K$31:$N$32,size_3!$P$31:$Q$32)</c:f>
              <c:multiLvlStrCache>
                <c:ptCount val="12"/>
                <c:lvl>
                  <c:pt idx="0">
                    <c:v>Denmark</c:v>
                  </c:pt>
                  <c:pt idx="1">
                    <c:v>Finland</c:v>
                  </c:pt>
                  <c:pt idx="2">
                    <c:v>Norway</c:v>
                  </c:pt>
                  <c:pt idx="3">
                    <c:v>Sweden</c:v>
                  </c:pt>
                  <c:pt idx="4">
                    <c:v>Denmark</c:v>
                  </c:pt>
                  <c:pt idx="5">
                    <c:v>Finland</c:v>
                  </c:pt>
                  <c:pt idx="6">
                    <c:v>Norway</c:v>
                  </c:pt>
                  <c:pt idx="7">
                    <c:v>Sweden</c:v>
                  </c:pt>
                  <c:pt idx="8">
                    <c:v>Denmark</c:v>
                  </c:pt>
                  <c:pt idx="9">
                    <c:v>Finland</c:v>
                  </c:pt>
                  <c:pt idx="10">
                    <c:v>Norway</c:v>
                  </c:pt>
                  <c:pt idx="11">
                    <c:v>Sweden</c:v>
                  </c:pt>
                </c:lvl>
                <c:lvl>
                  <c:pt idx="0">
                    <c:v>Employment (FTE)</c:v>
                  </c:pt>
                  <c:pt idx="4">
                    <c:v>Value added</c:v>
                  </c:pt>
                  <c:pt idx="8">
                    <c:v>Export of goods</c:v>
                  </c:pt>
                </c:lvl>
              </c:multiLvlStrCache>
            </c:multiLvlStrRef>
          </c:cat>
          <c:val>
            <c:numRef>
              <c:f>(size_3!$C$33:$D$33,size_3!$F$33:$I$33,size_3!$K$33:$N$33,size_3!$P$33:$Q$33)</c:f>
              <c:numCache>
                <c:formatCode>0</c:formatCode>
                <c:ptCount val="12"/>
                <c:pt idx="0">
                  <c:v>52.922903048351209</c:v>
                </c:pt>
                <c:pt idx="1">
                  <c:v>49.268672602678919</c:v>
                </c:pt>
                <c:pt idx="2">
                  <c:v>46.945175283688684</c:v>
                </c:pt>
                <c:pt idx="3">
                  <c:v>51.456148318704955</c:v>
                </c:pt>
                <c:pt idx="4">
                  <c:v>47.365960796283808</c:v>
                </c:pt>
                <c:pt idx="5">
                  <c:v>45.024951566257165</c:v>
                </c:pt>
                <c:pt idx="6">
                  <c:v>42.262368495356469</c:v>
                </c:pt>
                <c:pt idx="7">
                  <c:v>43.703036381797517</c:v>
                </c:pt>
                <c:pt idx="8">
                  <c:v>26.381415764400774</c:v>
                </c:pt>
                <c:pt idx="9">
                  <c:v>12.345449503583145</c:v>
                </c:pt>
                <c:pt idx="10">
                  <c:v>19.978118686869571</c:v>
                </c:pt>
                <c:pt idx="11">
                  <c:v>11.877948624632667</c:v>
                </c:pt>
              </c:numCache>
            </c:numRef>
          </c:val>
          <c:extLst xmlns:c16r2="http://schemas.microsoft.com/office/drawing/2015/06/chart">
            <c:ext xmlns:c16="http://schemas.microsoft.com/office/drawing/2014/chart" uri="{C3380CC4-5D6E-409C-BE32-E72D297353CC}">
              <c16:uniqueId val="{00000000-7169-4E0D-83BF-0CADF019F641}"/>
            </c:ext>
          </c:extLst>
        </c:ser>
        <c:ser>
          <c:idx val="1"/>
          <c:order val="1"/>
          <c:tx>
            <c:strRef>
              <c:f>size_3!$B$34</c:f>
              <c:strCache>
                <c:ptCount val="1"/>
                <c:pt idx="0">
                  <c:v>Belong to domestic 
SME  group</c:v>
                </c:pt>
              </c:strCache>
            </c:strRef>
          </c:tx>
          <c:spPr>
            <a:solidFill>
              <a:srgbClr val="FFEA55"/>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(size_3!$C$31:$D$32,size_3!$F$31:$I$32,size_3!$K$31:$N$32,size_3!$P$31:$Q$32)</c:f>
              <c:multiLvlStrCache>
                <c:ptCount val="12"/>
                <c:lvl>
                  <c:pt idx="0">
                    <c:v>Denmark</c:v>
                  </c:pt>
                  <c:pt idx="1">
                    <c:v>Finland</c:v>
                  </c:pt>
                  <c:pt idx="2">
                    <c:v>Norway</c:v>
                  </c:pt>
                  <c:pt idx="3">
                    <c:v>Sweden</c:v>
                  </c:pt>
                  <c:pt idx="4">
                    <c:v>Denmark</c:v>
                  </c:pt>
                  <c:pt idx="5">
                    <c:v>Finland</c:v>
                  </c:pt>
                  <c:pt idx="6">
                    <c:v>Norway</c:v>
                  </c:pt>
                  <c:pt idx="7">
                    <c:v>Sweden</c:v>
                  </c:pt>
                  <c:pt idx="8">
                    <c:v>Denmark</c:v>
                  </c:pt>
                  <c:pt idx="9">
                    <c:v>Finland</c:v>
                  </c:pt>
                  <c:pt idx="10">
                    <c:v>Norway</c:v>
                  </c:pt>
                  <c:pt idx="11">
                    <c:v>Sweden</c:v>
                  </c:pt>
                </c:lvl>
                <c:lvl>
                  <c:pt idx="0">
                    <c:v>Employment (FTE)</c:v>
                  </c:pt>
                  <c:pt idx="4">
                    <c:v>Value added</c:v>
                  </c:pt>
                  <c:pt idx="8">
                    <c:v>Export of goods</c:v>
                  </c:pt>
                </c:lvl>
              </c:multiLvlStrCache>
            </c:multiLvlStrRef>
          </c:cat>
          <c:val>
            <c:numRef>
              <c:f>(size_3!$C$34:$D$34,size_3!$F$34:$I$34,size_3!$K$34:$N$34,size_3!$P$34:$Q$34)</c:f>
              <c:numCache>
                <c:formatCode>0</c:formatCode>
                <c:ptCount val="12"/>
                <c:pt idx="0">
                  <c:v>12.495856002830848</c:v>
                </c:pt>
                <c:pt idx="1">
                  <c:v>13.561134440391132</c:v>
                </c:pt>
                <c:pt idx="2">
                  <c:v>17.249194744417363</c:v>
                </c:pt>
                <c:pt idx="3">
                  <c:v>15.078141228079438</c:v>
                </c:pt>
                <c:pt idx="4">
                  <c:v>15.720064186078442</c:v>
                </c:pt>
                <c:pt idx="5">
                  <c:v>17.483747002038864</c:v>
                </c:pt>
                <c:pt idx="6">
                  <c:v>29.613294325862487</c:v>
                </c:pt>
                <c:pt idx="7">
                  <c:v>19.310033137520772</c:v>
                </c:pt>
                <c:pt idx="8">
                  <c:v>22.081915689274844</c:v>
                </c:pt>
                <c:pt idx="9">
                  <c:v>21.712530470735885</c:v>
                </c:pt>
                <c:pt idx="10">
                  <c:v>20.243370007026815</c:v>
                </c:pt>
                <c:pt idx="11">
                  <c:v>21.842098024228065</c:v>
                </c:pt>
              </c:numCache>
            </c:numRef>
          </c:val>
          <c:extLst xmlns:c16r2="http://schemas.microsoft.com/office/drawing/2015/06/chart">
            <c:ext xmlns:c16="http://schemas.microsoft.com/office/drawing/2014/chart" uri="{C3380CC4-5D6E-409C-BE32-E72D297353CC}">
              <c16:uniqueId val="{00000001-7169-4E0D-83BF-0CADF019F641}"/>
            </c:ext>
          </c:extLst>
        </c:ser>
        <c:ser>
          <c:idx val="3"/>
          <c:order val="2"/>
          <c:tx>
            <c:strRef>
              <c:f>size_3!$B$35</c:f>
              <c:strCache>
                <c:ptCount val="1"/>
                <c:pt idx="0">
                  <c:v>Large group SMEs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(size_3!$C$31:$D$32,size_3!$F$31:$I$32,size_3!$K$31:$N$32,size_3!$P$31:$Q$32)</c:f>
              <c:multiLvlStrCache>
                <c:ptCount val="12"/>
                <c:lvl>
                  <c:pt idx="0">
                    <c:v>Denmark</c:v>
                  </c:pt>
                  <c:pt idx="1">
                    <c:v>Finland</c:v>
                  </c:pt>
                  <c:pt idx="2">
                    <c:v>Norway</c:v>
                  </c:pt>
                  <c:pt idx="3">
                    <c:v>Sweden</c:v>
                  </c:pt>
                  <c:pt idx="4">
                    <c:v>Denmark</c:v>
                  </c:pt>
                  <c:pt idx="5">
                    <c:v>Finland</c:v>
                  </c:pt>
                  <c:pt idx="6">
                    <c:v>Norway</c:v>
                  </c:pt>
                  <c:pt idx="7">
                    <c:v>Sweden</c:v>
                  </c:pt>
                  <c:pt idx="8">
                    <c:v>Denmark</c:v>
                  </c:pt>
                  <c:pt idx="9">
                    <c:v>Finland</c:v>
                  </c:pt>
                  <c:pt idx="10">
                    <c:v>Norway</c:v>
                  </c:pt>
                  <c:pt idx="11">
                    <c:v>Sweden</c:v>
                  </c:pt>
                </c:lvl>
                <c:lvl>
                  <c:pt idx="0">
                    <c:v>Employment (FTE)</c:v>
                  </c:pt>
                  <c:pt idx="4">
                    <c:v>Value added</c:v>
                  </c:pt>
                  <c:pt idx="8">
                    <c:v>Export of goods</c:v>
                  </c:pt>
                </c:lvl>
              </c:multiLvlStrCache>
            </c:multiLvlStrRef>
          </c:cat>
          <c:val>
            <c:numRef>
              <c:f>(size_3!$C$35:$D$35,size_3!$F$35:$I$35,size_3!$K$35:$N$35,size_3!$P$35:$Q$35)</c:f>
              <c:numCache>
                <c:formatCode>0</c:formatCode>
                <c:ptCount val="12"/>
                <c:pt idx="0">
                  <c:v>34.58124094881795</c:v>
                </c:pt>
                <c:pt idx="1">
                  <c:v>37.170192956929945</c:v>
                </c:pt>
                <c:pt idx="2">
                  <c:v>35.805629971893957</c:v>
                </c:pt>
                <c:pt idx="3">
                  <c:v>33.4657104532156</c:v>
                </c:pt>
                <c:pt idx="4">
                  <c:v>36.913975017637753</c:v>
                </c:pt>
                <c:pt idx="5">
                  <c:v>37.491301431703967</c:v>
                </c:pt>
                <c:pt idx="6">
                  <c:v>28.124337178781044</c:v>
                </c:pt>
                <c:pt idx="7">
                  <c:v>36.986930480681707</c:v>
                </c:pt>
                <c:pt idx="8">
                  <c:v>51.536668546324371</c:v>
                </c:pt>
                <c:pt idx="9">
                  <c:v>65.942020025680975</c:v>
                </c:pt>
                <c:pt idx="10">
                  <c:v>59.778511306103624</c:v>
                </c:pt>
                <c:pt idx="11">
                  <c:v>66.27995335113927</c:v>
                </c:pt>
              </c:numCache>
            </c:numRef>
          </c:val>
          <c:extLst xmlns:c16r2="http://schemas.microsoft.com/office/drawing/2015/06/chart">
            <c:ext xmlns:c16="http://schemas.microsoft.com/office/drawing/2014/chart" uri="{C3380CC4-5D6E-409C-BE32-E72D297353CC}">
              <c16:uniqueId val="{00000002-7169-4E0D-83BF-0CADF019F641}"/>
            </c:ext>
          </c:extLst>
        </c:ser>
        <c:dLbls>
          <c:showLegendKey val="0"/>
          <c:showVal val="0"/>
          <c:showCatName val="0"/>
          <c:showSerName val="0"/>
          <c:showPercent val="0"/>
          <c:showBubbleSize val="0"/>
        </c:dLbls>
        <c:gapWidth val="150"/>
        <c:overlap val="100"/>
        <c:axId val="134847496"/>
        <c:axId val="134845144"/>
      </c:barChart>
      <c:catAx>
        <c:axId val="134847496"/>
        <c:scaling>
          <c:orientation val="minMax"/>
        </c:scaling>
        <c:delete val="0"/>
        <c:axPos val="b"/>
        <c:numFmt formatCode="General" sourceLinked="1"/>
        <c:majorTickMark val="out"/>
        <c:minorTickMark val="none"/>
        <c:tickLblPos val="nextTo"/>
        <c:spPr>
          <a:ln>
            <a:solidFill>
              <a:schemeClr val="tx2"/>
            </a:solidFill>
          </a:ln>
        </c:spPr>
        <c:txPr>
          <a:bodyPr/>
          <a:lstStyle/>
          <a:p>
            <a:pPr>
              <a:defRPr sz="900">
                <a:latin typeface="Calibri"/>
                <a:ea typeface="Calibri"/>
                <a:cs typeface="Calibri"/>
              </a:defRPr>
            </a:pPr>
            <a:endParaRPr lang="da-DK"/>
          </a:p>
        </c:txPr>
        <c:crossAx val="134845144"/>
        <c:crosses val="autoZero"/>
        <c:auto val="1"/>
        <c:lblAlgn val="ctr"/>
        <c:lblOffset val="100"/>
        <c:noMultiLvlLbl val="0"/>
      </c:catAx>
      <c:valAx>
        <c:axId val="134845144"/>
        <c:scaling>
          <c:orientation val="minMax"/>
          <c:max val="100"/>
        </c:scaling>
        <c:delete val="0"/>
        <c:axPos val="l"/>
        <c:majorGridlines>
          <c:spPr>
            <a:ln>
              <a:solidFill>
                <a:schemeClr val="tx2"/>
              </a:solidFill>
            </a:ln>
          </c:spPr>
        </c:majorGridlines>
        <c:numFmt formatCode="0" sourceLinked="1"/>
        <c:majorTickMark val="out"/>
        <c:minorTickMark val="none"/>
        <c:tickLblPos val="nextTo"/>
        <c:spPr>
          <a:ln>
            <a:solidFill>
              <a:schemeClr val="tx2"/>
            </a:solidFill>
          </a:ln>
        </c:spPr>
        <c:txPr>
          <a:bodyPr/>
          <a:lstStyle/>
          <a:p>
            <a:pPr>
              <a:defRPr sz="900">
                <a:latin typeface="Calibri"/>
                <a:ea typeface="Calibri"/>
                <a:cs typeface="Calibri"/>
              </a:defRPr>
            </a:pPr>
            <a:endParaRPr lang="da-DK"/>
          </a:p>
        </c:txPr>
        <c:crossAx val="134847496"/>
        <c:crosses val="autoZero"/>
        <c:crossBetween val="between"/>
        <c:majorUnit val="20"/>
      </c:valAx>
      <c:spPr>
        <a:noFill/>
        <a:ln>
          <a:noFill/>
        </a:ln>
      </c:spPr>
    </c:plotArea>
    <c:legend>
      <c:legendPos val="b"/>
      <c:layout>
        <c:manualLayout>
          <c:xMode val="edge"/>
          <c:yMode val="edge"/>
          <c:x val="9.4140550719553934E-2"/>
          <c:y val="0.88851749364051436"/>
          <c:w val="0.86330117879462032"/>
          <c:h val="0.1114825063594857"/>
        </c:manualLayout>
      </c:layout>
      <c:overlay val="0"/>
      <c:txPr>
        <a:bodyPr/>
        <a:lstStyle/>
        <a:p>
          <a:pPr>
            <a:defRPr sz="900">
              <a:latin typeface="Calibri"/>
              <a:ea typeface="Calibri"/>
              <a:cs typeface="Calibri"/>
            </a:defRPr>
          </a:pPr>
          <a:endParaRPr lang="da-DK"/>
        </a:p>
      </c:txPr>
    </c:legend>
    <c:plotVisOnly val="1"/>
    <c:dispBlanksAs val="gap"/>
    <c:showDLblsOverMax val="0"/>
  </c:chart>
  <c:spPr>
    <a:noFill/>
    <a:ln>
      <a:noFill/>
    </a:ln>
  </c:sp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0BAFE-092E-478E-A553-E545132B663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EFA0593A-756F-4BEB-8A25-ECC65F43E593}">
      <dgm:prSet phldrT="[Tekst]" custT="1"/>
      <dgm:spPr/>
      <dgm:t>
        <a:bodyPr/>
        <a:lstStyle/>
        <a:p>
          <a:r>
            <a:rPr lang="da-DK" sz="1200" dirty="0" smtClean="0"/>
            <a:t>BR:</a:t>
          </a:r>
        </a:p>
        <a:p>
          <a:r>
            <a:rPr lang="da-DK" sz="1200" dirty="0" smtClean="0"/>
            <a:t>ID No.</a:t>
          </a:r>
        </a:p>
        <a:p>
          <a:r>
            <a:rPr lang="da-DK" sz="1200" dirty="0" smtClean="0"/>
            <a:t>Activity </a:t>
          </a:r>
          <a:r>
            <a:rPr lang="da-DK" sz="1200" dirty="0" err="1" smtClean="0"/>
            <a:t>code</a:t>
          </a:r>
          <a:endParaRPr lang="en-GB" sz="1200" dirty="0"/>
        </a:p>
      </dgm:t>
    </dgm:pt>
    <dgm:pt modelId="{1D84C0AE-AF42-49C6-988C-8CE883A30577}" type="parTrans" cxnId="{3818B14C-FD19-4805-91EA-6F7E34DFC6FC}">
      <dgm:prSet/>
      <dgm:spPr/>
      <dgm:t>
        <a:bodyPr/>
        <a:lstStyle/>
        <a:p>
          <a:endParaRPr lang="en-GB"/>
        </a:p>
      </dgm:t>
    </dgm:pt>
    <dgm:pt modelId="{CC130D84-AFFF-4289-9817-AAA06EB19DA3}" type="sibTrans" cxnId="{3818B14C-FD19-4805-91EA-6F7E34DFC6FC}">
      <dgm:prSet/>
      <dgm:spPr/>
      <dgm:t>
        <a:bodyPr/>
        <a:lstStyle/>
        <a:p>
          <a:endParaRPr lang="en-GB"/>
        </a:p>
      </dgm:t>
    </dgm:pt>
    <dgm:pt modelId="{64F77AAE-77E2-4BB7-BD01-B060F720EC51}">
      <dgm:prSet phldrT="[Tekst]" custT="1"/>
      <dgm:spPr>
        <a:solidFill>
          <a:schemeClr val="accent1"/>
        </a:solidFill>
      </dgm:spPr>
      <dgm:t>
        <a:bodyPr/>
        <a:lstStyle/>
        <a:p>
          <a:r>
            <a:rPr lang="en-US" sz="1200" noProof="0" dirty="0" smtClean="0"/>
            <a:t>ITG:</a:t>
          </a:r>
        </a:p>
        <a:p>
          <a:r>
            <a:rPr lang="en-US" sz="1200" noProof="0" dirty="0" smtClean="0"/>
            <a:t>Type of goods</a:t>
          </a:r>
        </a:p>
        <a:p>
          <a:r>
            <a:rPr lang="en-US" sz="1200" noProof="0" dirty="0" smtClean="0"/>
            <a:t>Value</a:t>
          </a:r>
        </a:p>
        <a:p>
          <a:r>
            <a:rPr lang="en-US" sz="1200" noProof="0" dirty="0" smtClean="0"/>
            <a:t>Markets</a:t>
          </a:r>
        </a:p>
      </dgm:t>
    </dgm:pt>
    <dgm:pt modelId="{EA036C5B-0A56-46F5-8115-FE8544F59695}" type="parTrans" cxnId="{FEF58C08-6455-4DE9-A335-F57AB3A4E1E8}">
      <dgm:prSet/>
      <dgm:spPr/>
      <dgm:t>
        <a:bodyPr/>
        <a:lstStyle/>
        <a:p>
          <a:endParaRPr lang="en-GB"/>
        </a:p>
      </dgm:t>
    </dgm:pt>
    <dgm:pt modelId="{3FB34D44-60CE-4387-8805-3B91BCF6DD15}" type="sibTrans" cxnId="{FEF58C08-6455-4DE9-A335-F57AB3A4E1E8}">
      <dgm:prSet/>
      <dgm:spPr/>
      <dgm:t>
        <a:bodyPr/>
        <a:lstStyle/>
        <a:p>
          <a:endParaRPr lang="en-GB"/>
        </a:p>
      </dgm:t>
    </dgm:pt>
    <dgm:pt modelId="{8606A2B1-C435-4278-B32B-2E563BA736E0}">
      <dgm:prSet phldrT="[Tekst]" custAng="0" custScaleX="133100" custScaleY="110000" custRadScaleRad="116058" custRadScaleInc="-14934"/>
      <dgm:spPr/>
      <dgm:t>
        <a:bodyPr/>
        <a:lstStyle/>
        <a:p>
          <a:endParaRPr lang="da-DK"/>
        </a:p>
      </dgm:t>
    </dgm:pt>
    <dgm:pt modelId="{086236FF-90A4-4795-AF90-2A567925B089}" type="parTrans" cxnId="{4B53499C-1EDA-4E87-A523-BE9211ED5BC2}">
      <dgm:prSet/>
      <dgm:spPr/>
      <dgm:t>
        <a:bodyPr/>
        <a:lstStyle/>
        <a:p>
          <a:endParaRPr lang="en-GB"/>
        </a:p>
      </dgm:t>
    </dgm:pt>
    <dgm:pt modelId="{63EAF905-1675-4694-AC31-47306E89617E}" type="sibTrans" cxnId="{4B53499C-1EDA-4E87-A523-BE9211ED5BC2}">
      <dgm:prSet/>
      <dgm:spPr/>
      <dgm:t>
        <a:bodyPr/>
        <a:lstStyle/>
        <a:p>
          <a:endParaRPr lang="en-GB"/>
        </a:p>
      </dgm:t>
    </dgm:pt>
    <dgm:pt modelId="{72882E62-CC19-41D9-AA39-2A48E52563E5}">
      <dgm:prSet phldrT="[Tekst]" custT="1"/>
      <dgm:spPr/>
      <dgm:t>
        <a:bodyPr/>
        <a:lstStyle/>
        <a:p>
          <a:r>
            <a:rPr lang="en-GB" sz="1200" noProof="0" dirty="0" smtClean="0"/>
            <a:t>OFATS:</a:t>
          </a:r>
        </a:p>
        <a:p>
          <a:r>
            <a:rPr lang="en-GB" sz="1200" noProof="0" dirty="0" smtClean="0"/>
            <a:t>Foreign affiliates</a:t>
          </a:r>
          <a:endParaRPr lang="en-GB" sz="1200" dirty="0"/>
        </a:p>
      </dgm:t>
    </dgm:pt>
    <dgm:pt modelId="{B7363EF2-F40F-481E-ABF7-2D27A54864C1}" type="sibTrans" cxnId="{525D9769-E315-42C7-AC27-572FB22A9DCA}">
      <dgm:prSet/>
      <dgm:spPr/>
      <dgm:t>
        <a:bodyPr/>
        <a:lstStyle/>
        <a:p>
          <a:endParaRPr lang="en-GB"/>
        </a:p>
      </dgm:t>
    </dgm:pt>
    <dgm:pt modelId="{BB01A72A-5DA1-4742-9339-1277BA20EE14}" type="parTrans" cxnId="{525D9769-E315-42C7-AC27-572FB22A9DCA}">
      <dgm:prSet/>
      <dgm:spPr/>
      <dgm:t>
        <a:bodyPr/>
        <a:lstStyle/>
        <a:p>
          <a:endParaRPr lang="en-GB"/>
        </a:p>
      </dgm:t>
    </dgm:pt>
    <dgm:pt modelId="{E70E97A7-1F70-4403-B056-F3937B6A296C}">
      <dgm:prSet custT="1"/>
      <dgm:spPr/>
      <dgm:t>
        <a:bodyPr/>
        <a:lstStyle/>
        <a:p>
          <a:r>
            <a:rPr lang="en-GB" sz="1200" noProof="0" dirty="0" smtClean="0"/>
            <a:t>IFATS</a:t>
          </a:r>
        </a:p>
        <a:p>
          <a:r>
            <a:rPr lang="en-GB" sz="1200" noProof="0" dirty="0" smtClean="0"/>
            <a:t>Nationality of ownership</a:t>
          </a:r>
        </a:p>
      </dgm:t>
    </dgm:pt>
    <dgm:pt modelId="{E064FBD7-34C0-4AEC-B0A6-B53AF88BE083}" type="sibTrans" cxnId="{B9A88ED3-67A8-4EF8-A1D5-F5B11D18BF35}">
      <dgm:prSet/>
      <dgm:spPr/>
      <dgm:t>
        <a:bodyPr/>
        <a:lstStyle/>
        <a:p>
          <a:endParaRPr lang="en-GB"/>
        </a:p>
      </dgm:t>
    </dgm:pt>
    <dgm:pt modelId="{B6201CB2-9402-4E76-A380-76A47636155D}" type="parTrans" cxnId="{B9A88ED3-67A8-4EF8-A1D5-F5B11D18BF35}">
      <dgm:prSet/>
      <dgm:spPr/>
      <dgm:t>
        <a:bodyPr/>
        <a:lstStyle/>
        <a:p>
          <a:endParaRPr lang="en-GB"/>
        </a:p>
      </dgm:t>
    </dgm:pt>
    <dgm:pt modelId="{199F3833-68E9-49DF-8190-A7A66B96E4FC}">
      <dgm:prSet custT="1"/>
      <dgm:spPr/>
      <dgm:t>
        <a:bodyPr/>
        <a:lstStyle/>
        <a:p>
          <a:r>
            <a:rPr lang="en-US" sz="1200" noProof="0" dirty="0" smtClean="0"/>
            <a:t>SBS:</a:t>
          </a:r>
          <a:br>
            <a:rPr lang="en-US" sz="1200" noProof="0" dirty="0" smtClean="0"/>
          </a:br>
          <a:r>
            <a:rPr lang="en-US" sz="1200" noProof="0" dirty="0" smtClean="0"/>
            <a:t>Turnover</a:t>
          </a:r>
        </a:p>
        <a:p>
          <a:r>
            <a:rPr lang="en-US" sz="1200" noProof="0" dirty="0" smtClean="0"/>
            <a:t>Gross Value Added</a:t>
          </a:r>
        </a:p>
        <a:p>
          <a:r>
            <a:rPr lang="en-US" sz="1200" noProof="0" dirty="0" smtClean="0"/>
            <a:t>Full-time employees</a:t>
          </a:r>
          <a:endParaRPr lang="en-US" sz="1200" noProof="0" dirty="0"/>
        </a:p>
      </dgm:t>
    </dgm:pt>
    <dgm:pt modelId="{154AF6C4-3786-4EB5-8A1A-3E86932E42E4}" type="sibTrans" cxnId="{0BA72004-57BC-4B4B-833B-861736D3F695}">
      <dgm:prSet/>
      <dgm:spPr/>
      <dgm:t>
        <a:bodyPr/>
        <a:lstStyle/>
        <a:p>
          <a:endParaRPr lang="en-GB"/>
        </a:p>
      </dgm:t>
    </dgm:pt>
    <dgm:pt modelId="{FB6447E9-9BDB-42A9-A036-5D9195F74C45}" type="parTrans" cxnId="{0BA72004-57BC-4B4B-833B-861736D3F695}">
      <dgm:prSet/>
      <dgm:spPr/>
      <dgm:t>
        <a:bodyPr/>
        <a:lstStyle/>
        <a:p>
          <a:endParaRPr lang="en-GB"/>
        </a:p>
      </dgm:t>
    </dgm:pt>
    <dgm:pt modelId="{924156EE-A7E5-41EF-8157-3D7AD114CF41}">
      <dgm:prSet phldrT="[Tekst]" custT="1"/>
      <dgm:spPr>
        <a:solidFill>
          <a:schemeClr val="accent1"/>
        </a:solidFill>
      </dgm:spPr>
      <dgm:t>
        <a:bodyPr/>
        <a:lstStyle/>
        <a:p>
          <a:r>
            <a:rPr lang="en-US" sz="1200" noProof="0" dirty="0" smtClean="0"/>
            <a:t>BD:</a:t>
          </a:r>
        </a:p>
        <a:p>
          <a:r>
            <a:rPr lang="en-US" sz="1200" noProof="0" dirty="0" smtClean="0"/>
            <a:t>Year of creation</a:t>
          </a:r>
        </a:p>
        <a:p>
          <a:r>
            <a:rPr lang="en-US" sz="1200" noProof="0" dirty="0" smtClean="0"/>
            <a:t>Survival</a:t>
          </a:r>
          <a:endParaRPr lang="en-US" sz="1200" noProof="0" dirty="0"/>
        </a:p>
      </dgm:t>
    </dgm:pt>
    <dgm:pt modelId="{723F855D-466E-4A5C-A55B-C752BBC407E3}" type="sibTrans" cxnId="{60439E23-1303-458D-9D53-D3F079BEA826}">
      <dgm:prSet/>
      <dgm:spPr/>
      <dgm:t>
        <a:bodyPr/>
        <a:lstStyle/>
        <a:p>
          <a:endParaRPr lang="en-GB"/>
        </a:p>
      </dgm:t>
    </dgm:pt>
    <dgm:pt modelId="{CB008B9A-0585-4711-805F-A8706C50E604}" type="parTrans" cxnId="{60439E23-1303-458D-9D53-D3F079BEA826}">
      <dgm:prSet/>
      <dgm:spPr/>
      <dgm:t>
        <a:bodyPr/>
        <a:lstStyle/>
        <a:p>
          <a:endParaRPr lang="en-GB"/>
        </a:p>
      </dgm:t>
    </dgm:pt>
    <dgm:pt modelId="{7C2AA81E-4B5D-428A-90B9-736BD9B5047C}">
      <dgm:prSet phldrT="[Tekst]" custT="1"/>
      <dgm:spPr>
        <a:solidFill>
          <a:schemeClr val="accent1"/>
        </a:solidFill>
      </dgm:spPr>
      <dgm:t>
        <a:bodyPr/>
        <a:lstStyle/>
        <a:p>
          <a:r>
            <a:rPr lang="en-US" sz="1200" noProof="0" dirty="0" smtClean="0"/>
            <a:t>ITS:</a:t>
          </a:r>
        </a:p>
        <a:p>
          <a:r>
            <a:rPr lang="en-US" sz="1200" noProof="0" dirty="0" smtClean="0"/>
            <a:t>Type of services</a:t>
          </a:r>
        </a:p>
        <a:p>
          <a:r>
            <a:rPr lang="en-US" sz="1200" noProof="0" dirty="0" smtClean="0"/>
            <a:t>Value</a:t>
          </a:r>
        </a:p>
        <a:p>
          <a:r>
            <a:rPr lang="en-US" sz="1200" noProof="0" dirty="0" smtClean="0"/>
            <a:t>Markets</a:t>
          </a:r>
          <a:endParaRPr lang="en-US" sz="1200" noProof="0" dirty="0"/>
        </a:p>
      </dgm:t>
    </dgm:pt>
    <dgm:pt modelId="{75E1EE8C-E8A8-432D-AB67-0F765DA8C86C}" type="sibTrans" cxnId="{6AF2396F-4519-43D8-ADED-30C4999DAAC2}">
      <dgm:prSet/>
      <dgm:spPr/>
      <dgm:t>
        <a:bodyPr/>
        <a:lstStyle/>
        <a:p>
          <a:endParaRPr lang="en-GB"/>
        </a:p>
      </dgm:t>
    </dgm:pt>
    <dgm:pt modelId="{1AF1D5EF-126F-422A-B48B-79FBFA4E6AB5}" type="parTrans" cxnId="{6AF2396F-4519-43D8-ADED-30C4999DAAC2}">
      <dgm:prSet/>
      <dgm:spPr/>
      <dgm:t>
        <a:bodyPr/>
        <a:lstStyle/>
        <a:p>
          <a:endParaRPr lang="en-GB"/>
        </a:p>
      </dgm:t>
    </dgm:pt>
    <dgm:pt modelId="{5D997B2D-9E2D-4538-B2CC-F6CE844B23FA}" type="pres">
      <dgm:prSet presAssocID="{6400BAFE-092E-478E-A553-E545132B663C}" presName="cycle" presStyleCnt="0">
        <dgm:presLayoutVars>
          <dgm:chMax val="1"/>
          <dgm:dir/>
          <dgm:animLvl val="ctr"/>
          <dgm:resizeHandles val="exact"/>
        </dgm:presLayoutVars>
      </dgm:prSet>
      <dgm:spPr/>
      <dgm:t>
        <a:bodyPr/>
        <a:lstStyle/>
        <a:p>
          <a:endParaRPr lang="da-DK"/>
        </a:p>
      </dgm:t>
    </dgm:pt>
    <dgm:pt modelId="{E45F6A62-15BD-4185-8441-B0E3E3203D5B}" type="pres">
      <dgm:prSet presAssocID="{EFA0593A-756F-4BEB-8A25-ECC65F43E593}" presName="centerShape" presStyleLbl="node0" presStyleIdx="0" presStyleCnt="1" custScaleX="90909" custScaleY="90909"/>
      <dgm:spPr/>
      <dgm:t>
        <a:bodyPr/>
        <a:lstStyle/>
        <a:p>
          <a:endParaRPr lang="da-DK"/>
        </a:p>
      </dgm:t>
    </dgm:pt>
    <dgm:pt modelId="{20373652-B5F4-4896-B40F-657BEEEE4F9F}" type="pres">
      <dgm:prSet presAssocID="{BB01A72A-5DA1-4742-9339-1277BA20EE14}" presName="Name9" presStyleLbl="parChTrans1D2" presStyleIdx="0" presStyleCnt="6"/>
      <dgm:spPr/>
      <dgm:t>
        <a:bodyPr/>
        <a:lstStyle/>
        <a:p>
          <a:endParaRPr lang="da-DK"/>
        </a:p>
      </dgm:t>
    </dgm:pt>
    <dgm:pt modelId="{DC149C5B-0A03-4538-BBBC-BA4BE1654797}" type="pres">
      <dgm:prSet presAssocID="{BB01A72A-5DA1-4742-9339-1277BA20EE14}" presName="connTx" presStyleLbl="parChTrans1D2" presStyleIdx="0" presStyleCnt="6"/>
      <dgm:spPr/>
      <dgm:t>
        <a:bodyPr/>
        <a:lstStyle/>
        <a:p>
          <a:endParaRPr lang="da-DK"/>
        </a:p>
      </dgm:t>
    </dgm:pt>
    <dgm:pt modelId="{B67103B2-3AFF-40D8-8C4F-A1A0932EACD2}" type="pres">
      <dgm:prSet presAssocID="{72882E62-CC19-41D9-AA39-2A48E52563E5}" presName="node" presStyleLbl="node1" presStyleIdx="0" presStyleCnt="6" custScaleX="170041" custScaleY="133862">
        <dgm:presLayoutVars>
          <dgm:bulletEnabled val="1"/>
        </dgm:presLayoutVars>
      </dgm:prSet>
      <dgm:spPr/>
      <dgm:t>
        <a:bodyPr/>
        <a:lstStyle/>
        <a:p>
          <a:endParaRPr lang="en-GB"/>
        </a:p>
      </dgm:t>
    </dgm:pt>
    <dgm:pt modelId="{DB89A67E-504F-4122-B00E-E4C10110C9EE}" type="pres">
      <dgm:prSet presAssocID="{B6201CB2-9402-4E76-A380-76A47636155D}" presName="Name9" presStyleLbl="parChTrans1D2" presStyleIdx="1" presStyleCnt="6"/>
      <dgm:spPr/>
      <dgm:t>
        <a:bodyPr/>
        <a:lstStyle/>
        <a:p>
          <a:endParaRPr lang="da-DK"/>
        </a:p>
      </dgm:t>
    </dgm:pt>
    <dgm:pt modelId="{37292483-D80F-4392-8CE2-742142E70AF5}" type="pres">
      <dgm:prSet presAssocID="{B6201CB2-9402-4E76-A380-76A47636155D}" presName="connTx" presStyleLbl="parChTrans1D2" presStyleIdx="1" presStyleCnt="6"/>
      <dgm:spPr/>
      <dgm:t>
        <a:bodyPr/>
        <a:lstStyle/>
        <a:p>
          <a:endParaRPr lang="da-DK"/>
        </a:p>
      </dgm:t>
    </dgm:pt>
    <dgm:pt modelId="{686ACE8C-C822-47A1-BD89-C22509BD29E7}" type="pres">
      <dgm:prSet presAssocID="{E70E97A7-1F70-4403-B056-F3937B6A296C}" presName="node" presStyleLbl="node1" presStyleIdx="1" presStyleCnt="6" custScaleX="170041" custScaleY="133862" custRadScaleRad="149418" custRadScaleInc="11620">
        <dgm:presLayoutVars>
          <dgm:bulletEnabled val="1"/>
        </dgm:presLayoutVars>
      </dgm:prSet>
      <dgm:spPr/>
      <dgm:t>
        <a:bodyPr/>
        <a:lstStyle/>
        <a:p>
          <a:endParaRPr lang="en-GB"/>
        </a:p>
      </dgm:t>
    </dgm:pt>
    <dgm:pt modelId="{79B1A0F2-AD22-4282-A054-1E3CE7285C2C}" type="pres">
      <dgm:prSet presAssocID="{FB6447E9-9BDB-42A9-A036-5D9195F74C45}" presName="Name9" presStyleLbl="parChTrans1D2" presStyleIdx="2" presStyleCnt="6"/>
      <dgm:spPr/>
      <dgm:t>
        <a:bodyPr/>
        <a:lstStyle/>
        <a:p>
          <a:endParaRPr lang="da-DK"/>
        </a:p>
      </dgm:t>
    </dgm:pt>
    <dgm:pt modelId="{0A946843-5C9E-44B7-8CF5-D467058E89C8}" type="pres">
      <dgm:prSet presAssocID="{FB6447E9-9BDB-42A9-A036-5D9195F74C45}" presName="connTx" presStyleLbl="parChTrans1D2" presStyleIdx="2" presStyleCnt="6"/>
      <dgm:spPr/>
      <dgm:t>
        <a:bodyPr/>
        <a:lstStyle/>
        <a:p>
          <a:endParaRPr lang="da-DK"/>
        </a:p>
      </dgm:t>
    </dgm:pt>
    <dgm:pt modelId="{37578FFA-4A3F-47C9-9AA6-28FADD449BAA}" type="pres">
      <dgm:prSet presAssocID="{199F3833-68E9-49DF-8190-A7A66B96E4FC}" presName="node" presStyleLbl="node1" presStyleIdx="2" presStyleCnt="6" custScaleX="170041" custScaleY="133862" custRadScaleRad="151402" custRadScaleInc="-29084">
        <dgm:presLayoutVars>
          <dgm:bulletEnabled val="1"/>
        </dgm:presLayoutVars>
      </dgm:prSet>
      <dgm:spPr/>
      <dgm:t>
        <a:bodyPr/>
        <a:lstStyle/>
        <a:p>
          <a:endParaRPr lang="en-GB"/>
        </a:p>
      </dgm:t>
    </dgm:pt>
    <dgm:pt modelId="{CD2C97D5-1DD9-4861-B564-F217E721CDEC}" type="pres">
      <dgm:prSet presAssocID="{CB008B9A-0585-4711-805F-A8706C50E604}" presName="Name9" presStyleLbl="parChTrans1D2" presStyleIdx="3" presStyleCnt="6"/>
      <dgm:spPr/>
      <dgm:t>
        <a:bodyPr/>
        <a:lstStyle/>
        <a:p>
          <a:endParaRPr lang="da-DK"/>
        </a:p>
      </dgm:t>
    </dgm:pt>
    <dgm:pt modelId="{0DDAFD36-F856-4232-9B71-FA3EFB1DB2FA}" type="pres">
      <dgm:prSet presAssocID="{CB008B9A-0585-4711-805F-A8706C50E604}" presName="connTx" presStyleLbl="parChTrans1D2" presStyleIdx="3" presStyleCnt="6"/>
      <dgm:spPr/>
      <dgm:t>
        <a:bodyPr/>
        <a:lstStyle/>
        <a:p>
          <a:endParaRPr lang="da-DK"/>
        </a:p>
      </dgm:t>
    </dgm:pt>
    <dgm:pt modelId="{CE061737-00BE-4BF6-BD1C-8B784F504111}" type="pres">
      <dgm:prSet presAssocID="{924156EE-A7E5-41EF-8157-3D7AD114CF41}" presName="node" presStyleLbl="node1" presStyleIdx="3" presStyleCnt="6" custScaleX="170041" custScaleY="133862">
        <dgm:presLayoutVars>
          <dgm:bulletEnabled val="1"/>
        </dgm:presLayoutVars>
      </dgm:prSet>
      <dgm:spPr/>
      <dgm:t>
        <a:bodyPr/>
        <a:lstStyle/>
        <a:p>
          <a:endParaRPr lang="en-GB"/>
        </a:p>
      </dgm:t>
    </dgm:pt>
    <dgm:pt modelId="{9387BB61-34F0-447A-99BA-9CD4D8F2A0BA}" type="pres">
      <dgm:prSet presAssocID="{1AF1D5EF-126F-422A-B48B-79FBFA4E6AB5}" presName="Name9" presStyleLbl="parChTrans1D2" presStyleIdx="4" presStyleCnt="6"/>
      <dgm:spPr/>
      <dgm:t>
        <a:bodyPr/>
        <a:lstStyle/>
        <a:p>
          <a:endParaRPr lang="da-DK"/>
        </a:p>
      </dgm:t>
    </dgm:pt>
    <dgm:pt modelId="{4082B797-3AD1-4893-ACD0-EF2418657159}" type="pres">
      <dgm:prSet presAssocID="{1AF1D5EF-126F-422A-B48B-79FBFA4E6AB5}" presName="connTx" presStyleLbl="parChTrans1D2" presStyleIdx="4" presStyleCnt="6"/>
      <dgm:spPr/>
      <dgm:t>
        <a:bodyPr/>
        <a:lstStyle/>
        <a:p>
          <a:endParaRPr lang="da-DK"/>
        </a:p>
      </dgm:t>
    </dgm:pt>
    <dgm:pt modelId="{DE22E03B-B54B-41CF-ACD6-8EB09CEB4DC8}" type="pres">
      <dgm:prSet presAssocID="{7C2AA81E-4B5D-428A-90B9-736BD9B5047C}" presName="node" presStyleLbl="node1" presStyleIdx="4" presStyleCnt="6" custScaleX="180466" custScaleY="142069" custRadScaleRad="142181" custRadScaleInc="33437">
        <dgm:presLayoutVars>
          <dgm:bulletEnabled val="1"/>
        </dgm:presLayoutVars>
      </dgm:prSet>
      <dgm:spPr/>
      <dgm:t>
        <a:bodyPr/>
        <a:lstStyle/>
        <a:p>
          <a:endParaRPr lang="en-GB"/>
        </a:p>
      </dgm:t>
    </dgm:pt>
    <dgm:pt modelId="{0C403593-62D7-4028-8951-2094825D7B03}" type="pres">
      <dgm:prSet presAssocID="{EA036C5B-0A56-46F5-8115-FE8544F59695}" presName="Name9" presStyleLbl="parChTrans1D2" presStyleIdx="5" presStyleCnt="6"/>
      <dgm:spPr/>
      <dgm:t>
        <a:bodyPr/>
        <a:lstStyle/>
        <a:p>
          <a:endParaRPr lang="da-DK"/>
        </a:p>
      </dgm:t>
    </dgm:pt>
    <dgm:pt modelId="{0B26AAD6-F573-414E-A050-9C61E9D5BBE8}" type="pres">
      <dgm:prSet presAssocID="{EA036C5B-0A56-46F5-8115-FE8544F59695}" presName="connTx" presStyleLbl="parChTrans1D2" presStyleIdx="5" presStyleCnt="6"/>
      <dgm:spPr/>
      <dgm:t>
        <a:bodyPr/>
        <a:lstStyle/>
        <a:p>
          <a:endParaRPr lang="da-DK"/>
        </a:p>
      </dgm:t>
    </dgm:pt>
    <dgm:pt modelId="{7D2BEDD8-C5E3-486C-8024-73D986EA46AF}" type="pres">
      <dgm:prSet presAssocID="{64F77AAE-77E2-4BB7-BD01-B060F720EC51}" presName="node" presStyleLbl="node1" presStyleIdx="5" presStyleCnt="6" custAng="0" custScaleX="168582" custScaleY="133298" custRadScaleRad="148339" custRadScaleInc="-17517">
        <dgm:presLayoutVars>
          <dgm:bulletEnabled val="1"/>
        </dgm:presLayoutVars>
      </dgm:prSet>
      <dgm:spPr/>
      <dgm:t>
        <a:bodyPr/>
        <a:lstStyle/>
        <a:p>
          <a:endParaRPr lang="en-GB"/>
        </a:p>
      </dgm:t>
    </dgm:pt>
  </dgm:ptLst>
  <dgm:cxnLst>
    <dgm:cxn modelId="{3BFF4B2B-A50A-478D-AF13-2205993D45A9}" type="presOf" srcId="{72882E62-CC19-41D9-AA39-2A48E52563E5}" destId="{B67103B2-3AFF-40D8-8C4F-A1A0932EACD2}" srcOrd="0" destOrd="0" presId="urn:microsoft.com/office/officeart/2005/8/layout/radial1"/>
    <dgm:cxn modelId="{3818B14C-FD19-4805-91EA-6F7E34DFC6FC}" srcId="{6400BAFE-092E-478E-A553-E545132B663C}" destId="{EFA0593A-756F-4BEB-8A25-ECC65F43E593}" srcOrd="0" destOrd="0" parTransId="{1D84C0AE-AF42-49C6-988C-8CE883A30577}" sibTransId="{CC130D84-AFFF-4289-9817-AAA06EB19DA3}"/>
    <dgm:cxn modelId="{F3BB7DD6-4F1E-4393-9D1A-79C508F3674A}" type="presOf" srcId="{B6201CB2-9402-4E76-A380-76A47636155D}" destId="{37292483-D80F-4392-8CE2-742142E70AF5}" srcOrd="1" destOrd="0" presId="urn:microsoft.com/office/officeart/2005/8/layout/radial1"/>
    <dgm:cxn modelId="{4B53499C-1EDA-4E87-A523-BE9211ED5BC2}" srcId="{6400BAFE-092E-478E-A553-E545132B663C}" destId="{8606A2B1-C435-4278-B32B-2E563BA736E0}" srcOrd="1" destOrd="0" parTransId="{086236FF-90A4-4795-AF90-2A567925B089}" sibTransId="{63EAF905-1675-4694-AC31-47306E89617E}"/>
    <dgm:cxn modelId="{A8651BEC-42F7-45DF-AA39-FA334EB428A4}" type="presOf" srcId="{EFA0593A-756F-4BEB-8A25-ECC65F43E593}" destId="{E45F6A62-15BD-4185-8441-B0E3E3203D5B}" srcOrd="0" destOrd="0" presId="urn:microsoft.com/office/officeart/2005/8/layout/radial1"/>
    <dgm:cxn modelId="{44419A2D-48EF-4E58-94DB-9B36BFAA4436}" type="presOf" srcId="{924156EE-A7E5-41EF-8157-3D7AD114CF41}" destId="{CE061737-00BE-4BF6-BD1C-8B784F504111}" srcOrd="0" destOrd="0" presId="urn:microsoft.com/office/officeart/2005/8/layout/radial1"/>
    <dgm:cxn modelId="{B9A88ED3-67A8-4EF8-A1D5-F5B11D18BF35}" srcId="{EFA0593A-756F-4BEB-8A25-ECC65F43E593}" destId="{E70E97A7-1F70-4403-B056-F3937B6A296C}" srcOrd="1" destOrd="0" parTransId="{B6201CB2-9402-4E76-A380-76A47636155D}" sibTransId="{E064FBD7-34C0-4AEC-B0A6-B53AF88BE083}"/>
    <dgm:cxn modelId="{B30A28A7-E878-46FE-8920-3D1603BD218B}" type="presOf" srcId="{E70E97A7-1F70-4403-B056-F3937B6A296C}" destId="{686ACE8C-C822-47A1-BD89-C22509BD29E7}" srcOrd="0" destOrd="0" presId="urn:microsoft.com/office/officeart/2005/8/layout/radial1"/>
    <dgm:cxn modelId="{69E285F2-04B3-4322-950E-632CF62BC17D}" type="presOf" srcId="{CB008B9A-0585-4711-805F-A8706C50E604}" destId="{CD2C97D5-1DD9-4861-B564-F217E721CDEC}" srcOrd="0" destOrd="0" presId="urn:microsoft.com/office/officeart/2005/8/layout/radial1"/>
    <dgm:cxn modelId="{F80D37D0-05EA-43AB-87AD-862B738F1739}" type="presOf" srcId="{B6201CB2-9402-4E76-A380-76A47636155D}" destId="{DB89A67E-504F-4122-B00E-E4C10110C9EE}" srcOrd="0" destOrd="0" presId="urn:microsoft.com/office/officeart/2005/8/layout/radial1"/>
    <dgm:cxn modelId="{5BE4F3A0-56CE-4EA9-94DA-E791A167F7B3}" type="presOf" srcId="{FB6447E9-9BDB-42A9-A036-5D9195F74C45}" destId="{0A946843-5C9E-44B7-8CF5-D467058E89C8}" srcOrd="1" destOrd="0" presId="urn:microsoft.com/office/officeart/2005/8/layout/radial1"/>
    <dgm:cxn modelId="{65EB447E-9D61-4525-9F8A-0EC4755602FA}" type="presOf" srcId="{1AF1D5EF-126F-422A-B48B-79FBFA4E6AB5}" destId="{9387BB61-34F0-447A-99BA-9CD4D8F2A0BA}" srcOrd="0" destOrd="0" presId="urn:microsoft.com/office/officeart/2005/8/layout/radial1"/>
    <dgm:cxn modelId="{60439E23-1303-458D-9D53-D3F079BEA826}" srcId="{EFA0593A-756F-4BEB-8A25-ECC65F43E593}" destId="{924156EE-A7E5-41EF-8157-3D7AD114CF41}" srcOrd="3" destOrd="0" parTransId="{CB008B9A-0585-4711-805F-A8706C50E604}" sibTransId="{723F855D-466E-4A5C-A55B-C752BBC407E3}"/>
    <dgm:cxn modelId="{0BA72004-57BC-4B4B-833B-861736D3F695}" srcId="{EFA0593A-756F-4BEB-8A25-ECC65F43E593}" destId="{199F3833-68E9-49DF-8190-A7A66B96E4FC}" srcOrd="2" destOrd="0" parTransId="{FB6447E9-9BDB-42A9-A036-5D9195F74C45}" sibTransId="{154AF6C4-3786-4EB5-8A1A-3E86932E42E4}"/>
    <dgm:cxn modelId="{04BEFB54-F42D-4BD7-9796-97C3B23DD82C}" type="presOf" srcId="{BB01A72A-5DA1-4742-9339-1277BA20EE14}" destId="{20373652-B5F4-4896-B40F-657BEEEE4F9F}" srcOrd="0" destOrd="0" presId="urn:microsoft.com/office/officeart/2005/8/layout/radial1"/>
    <dgm:cxn modelId="{2E5FFE9C-133E-46D8-B01C-3A79DC6B7104}" type="presOf" srcId="{7C2AA81E-4B5D-428A-90B9-736BD9B5047C}" destId="{DE22E03B-B54B-41CF-ACD6-8EB09CEB4DC8}" srcOrd="0" destOrd="0" presId="urn:microsoft.com/office/officeart/2005/8/layout/radial1"/>
    <dgm:cxn modelId="{417E5539-7ECF-4066-A047-4F6A1BCEB4C5}" type="presOf" srcId="{1AF1D5EF-126F-422A-B48B-79FBFA4E6AB5}" destId="{4082B797-3AD1-4893-ACD0-EF2418657159}" srcOrd="1" destOrd="0" presId="urn:microsoft.com/office/officeart/2005/8/layout/radial1"/>
    <dgm:cxn modelId="{27353C5D-45CD-4CED-9E0D-8380E57677B9}" type="presOf" srcId="{BB01A72A-5DA1-4742-9339-1277BA20EE14}" destId="{DC149C5B-0A03-4538-BBBC-BA4BE1654797}" srcOrd="1" destOrd="0" presId="urn:microsoft.com/office/officeart/2005/8/layout/radial1"/>
    <dgm:cxn modelId="{FEF58C08-6455-4DE9-A335-F57AB3A4E1E8}" srcId="{EFA0593A-756F-4BEB-8A25-ECC65F43E593}" destId="{64F77AAE-77E2-4BB7-BD01-B060F720EC51}" srcOrd="5" destOrd="0" parTransId="{EA036C5B-0A56-46F5-8115-FE8544F59695}" sibTransId="{3FB34D44-60CE-4387-8805-3B91BCF6DD15}"/>
    <dgm:cxn modelId="{6058BD0F-2BED-44EE-8CDC-A889A166599C}" type="presOf" srcId="{CB008B9A-0585-4711-805F-A8706C50E604}" destId="{0DDAFD36-F856-4232-9B71-FA3EFB1DB2FA}" srcOrd="1" destOrd="0" presId="urn:microsoft.com/office/officeart/2005/8/layout/radial1"/>
    <dgm:cxn modelId="{525D9769-E315-42C7-AC27-572FB22A9DCA}" srcId="{EFA0593A-756F-4BEB-8A25-ECC65F43E593}" destId="{72882E62-CC19-41D9-AA39-2A48E52563E5}" srcOrd="0" destOrd="0" parTransId="{BB01A72A-5DA1-4742-9339-1277BA20EE14}" sibTransId="{B7363EF2-F40F-481E-ABF7-2D27A54864C1}"/>
    <dgm:cxn modelId="{F2D55343-00A3-463D-A490-23BA848507D0}" type="presOf" srcId="{EA036C5B-0A56-46F5-8115-FE8544F59695}" destId="{0C403593-62D7-4028-8951-2094825D7B03}" srcOrd="0" destOrd="0" presId="urn:microsoft.com/office/officeart/2005/8/layout/radial1"/>
    <dgm:cxn modelId="{BF58E82E-5A8A-4FCC-A961-17C75C6B6B0A}" type="presOf" srcId="{6400BAFE-092E-478E-A553-E545132B663C}" destId="{5D997B2D-9E2D-4538-B2CC-F6CE844B23FA}" srcOrd="0" destOrd="0" presId="urn:microsoft.com/office/officeart/2005/8/layout/radial1"/>
    <dgm:cxn modelId="{6AF2396F-4519-43D8-ADED-30C4999DAAC2}" srcId="{EFA0593A-756F-4BEB-8A25-ECC65F43E593}" destId="{7C2AA81E-4B5D-428A-90B9-736BD9B5047C}" srcOrd="4" destOrd="0" parTransId="{1AF1D5EF-126F-422A-B48B-79FBFA4E6AB5}" sibTransId="{75E1EE8C-E8A8-432D-AB67-0F765DA8C86C}"/>
    <dgm:cxn modelId="{8456EA7D-7B6D-4F1A-A891-EC6449B8FD49}" type="presOf" srcId="{64F77AAE-77E2-4BB7-BD01-B060F720EC51}" destId="{7D2BEDD8-C5E3-486C-8024-73D986EA46AF}" srcOrd="0" destOrd="0" presId="urn:microsoft.com/office/officeart/2005/8/layout/radial1"/>
    <dgm:cxn modelId="{E552B38F-5C33-4584-B54A-3B61278139C8}" type="presOf" srcId="{FB6447E9-9BDB-42A9-A036-5D9195F74C45}" destId="{79B1A0F2-AD22-4282-A054-1E3CE7285C2C}" srcOrd="0" destOrd="0" presId="urn:microsoft.com/office/officeart/2005/8/layout/radial1"/>
    <dgm:cxn modelId="{B33917F1-BF36-45A9-AB63-2122A938CDF9}" type="presOf" srcId="{EA036C5B-0A56-46F5-8115-FE8544F59695}" destId="{0B26AAD6-F573-414E-A050-9C61E9D5BBE8}" srcOrd="1" destOrd="0" presId="urn:microsoft.com/office/officeart/2005/8/layout/radial1"/>
    <dgm:cxn modelId="{3FF54445-5A83-4C44-9EAB-84644577B999}" type="presOf" srcId="{199F3833-68E9-49DF-8190-A7A66B96E4FC}" destId="{37578FFA-4A3F-47C9-9AA6-28FADD449BAA}" srcOrd="0" destOrd="0" presId="urn:microsoft.com/office/officeart/2005/8/layout/radial1"/>
    <dgm:cxn modelId="{3DA1C1D6-D78E-44F1-8B62-01E11E069981}" type="presParOf" srcId="{5D997B2D-9E2D-4538-B2CC-F6CE844B23FA}" destId="{E45F6A62-15BD-4185-8441-B0E3E3203D5B}" srcOrd="0" destOrd="0" presId="urn:microsoft.com/office/officeart/2005/8/layout/radial1"/>
    <dgm:cxn modelId="{61E58A8F-AF4C-4E4B-8B2B-FA4744DCF49C}" type="presParOf" srcId="{5D997B2D-9E2D-4538-B2CC-F6CE844B23FA}" destId="{20373652-B5F4-4896-B40F-657BEEEE4F9F}" srcOrd="1" destOrd="0" presId="urn:microsoft.com/office/officeart/2005/8/layout/radial1"/>
    <dgm:cxn modelId="{C898E5B6-19E3-4222-8C00-CCDF84F3EAD9}" type="presParOf" srcId="{20373652-B5F4-4896-B40F-657BEEEE4F9F}" destId="{DC149C5B-0A03-4538-BBBC-BA4BE1654797}" srcOrd="0" destOrd="0" presId="urn:microsoft.com/office/officeart/2005/8/layout/radial1"/>
    <dgm:cxn modelId="{32F0CC0E-9703-4D4A-B0BC-248F33A1CF4C}" type="presParOf" srcId="{5D997B2D-9E2D-4538-B2CC-F6CE844B23FA}" destId="{B67103B2-3AFF-40D8-8C4F-A1A0932EACD2}" srcOrd="2" destOrd="0" presId="urn:microsoft.com/office/officeart/2005/8/layout/radial1"/>
    <dgm:cxn modelId="{F6874276-35A7-4DAA-95D5-D3E6E6EF0AB8}" type="presParOf" srcId="{5D997B2D-9E2D-4538-B2CC-F6CE844B23FA}" destId="{DB89A67E-504F-4122-B00E-E4C10110C9EE}" srcOrd="3" destOrd="0" presId="urn:microsoft.com/office/officeart/2005/8/layout/radial1"/>
    <dgm:cxn modelId="{CD6F98D5-CDEB-40BC-93F8-8E526DA4B9D3}" type="presParOf" srcId="{DB89A67E-504F-4122-B00E-E4C10110C9EE}" destId="{37292483-D80F-4392-8CE2-742142E70AF5}" srcOrd="0" destOrd="0" presId="urn:microsoft.com/office/officeart/2005/8/layout/radial1"/>
    <dgm:cxn modelId="{F028CAF5-B649-4536-846C-208BCD1773FA}" type="presParOf" srcId="{5D997B2D-9E2D-4538-B2CC-F6CE844B23FA}" destId="{686ACE8C-C822-47A1-BD89-C22509BD29E7}" srcOrd="4" destOrd="0" presId="urn:microsoft.com/office/officeart/2005/8/layout/radial1"/>
    <dgm:cxn modelId="{4286AF2F-1467-4F84-B458-04BE6F51C2F8}" type="presParOf" srcId="{5D997B2D-9E2D-4538-B2CC-F6CE844B23FA}" destId="{79B1A0F2-AD22-4282-A054-1E3CE7285C2C}" srcOrd="5" destOrd="0" presId="urn:microsoft.com/office/officeart/2005/8/layout/radial1"/>
    <dgm:cxn modelId="{FBC03288-142F-4309-81FC-3BB986E55321}" type="presParOf" srcId="{79B1A0F2-AD22-4282-A054-1E3CE7285C2C}" destId="{0A946843-5C9E-44B7-8CF5-D467058E89C8}" srcOrd="0" destOrd="0" presId="urn:microsoft.com/office/officeart/2005/8/layout/radial1"/>
    <dgm:cxn modelId="{D6A55C0F-0AF5-4CC8-887F-CA90DA05DD7C}" type="presParOf" srcId="{5D997B2D-9E2D-4538-B2CC-F6CE844B23FA}" destId="{37578FFA-4A3F-47C9-9AA6-28FADD449BAA}" srcOrd="6" destOrd="0" presId="urn:microsoft.com/office/officeart/2005/8/layout/radial1"/>
    <dgm:cxn modelId="{F11F6E34-5417-4EE0-846A-FDC58FB18070}" type="presParOf" srcId="{5D997B2D-9E2D-4538-B2CC-F6CE844B23FA}" destId="{CD2C97D5-1DD9-4861-B564-F217E721CDEC}" srcOrd="7" destOrd="0" presId="urn:microsoft.com/office/officeart/2005/8/layout/radial1"/>
    <dgm:cxn modelId="{CD110AA4-070B-4C9D-9496-117F0F1DA450}" type="presParOf" srcId="{CD2C97D5-1DD9-4861-B564-F217E721CDEC}" destId="{0DDAFD36-F856-4232-9B71-FA3EFB1DB2FA}" srcOrd="0" destOrd="0" presId="urn:microsoft.com/office/officeart/2005/8/layout/radial1"/>
    <dgm:cxn modelId="{4259B6E7-986A-4F26-B8EA-1F013904D474}" type="presParOf" srcId="{5D997B2D-9E2D-4538-B2CC-F6CE844B23FA}" destId="{CE061737-00BE-4BF6-BD1C-8B784F504111}" srcOrd="8" destOrd="0" presId="urn:microsoft.com/office/officeart/2005/8/layout/radial1"/>
    <dgm:cxn modelId="{9332A2A0-403B-4E05-9A3E-E7ACBCAC8972}" type="presParOf" srcId="{5D997B2D-9E2D-4538-B2CC-F6CE844B23FA}" destId="{9387BB61-34F0-447A-99BA-9CD4D8F2A0BA}" srcOrd="9" destOrd="0" presId="urn:microsoft.com/office/officeart/2005/8/layout/radial1"/>
    <dgm:cxn modelId="{C3000C66-F578-4567-9767-F68AF1E80199}" type="presParOf" srcId="{9387BB61-34F0-447A-99BA-9CD4D8F2A0BA}" destId="{4082B797-3AD1-4893-ACD0-EF2418657159}" srcOrd="0" destOrd="0" presId="urn:microsoft.com/office/officeart/2005/8/layout/radial1"/>
    <dgm:cxn modelId="{975917D1-164A-4C8B-9EF8-1E9C7E08E033}" type="presParOf" srcId="{5D997B2D-9E2D-4538-B2CC-F6CE844B23FA}" destId="{DE22E03B-B54B-41CF-ACD6-8EB09CEB4DC8}" srcOrd="10" destOrd="0" presId="urn:microsoft.com/office/officeart/2005/8/layout/radial1"/>
    <dgm:cxn modelId="{3E45918A-89A5-40C1-A49C-2EE01691AD6C}" type="presParOf" srcId="{5D997B2D-9E2D-4538-B2CC-F6CE844B23FA}" destId="{0C403593-62D7-4028-8951-2094825D7B03}" srcOrd="11" destOrd="0" presId="urn:microsoft.com/office/officeart/2005/8/layout/radial1"/>
    <dgm:cxn modelId="{B23643AE-841F-47FB-8607-409679D5242C}" type="presParOf" srcId="{0C403593-62D7-4028-8951-2094825D7B03}" destId="{0B26AAD6-F573-414E-A050-9C61E9D5BBE8}" srcOrd="0" destOrd="0" presId="urn:microsoft.com/office/officeart/2005/8/layout/radial1"/>
    <dgm:cxn modelId="{995493B2-6F32-4A33-96D4-2780F40326D8}" type="presParOf" srcId="{5D997B2D-9E2D-4538-B2CC-F6CE844B23FA}" destId="{7D2BEDD8-C5E3-486C-8024-73D986EA46AF}" srcOrd="12"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13DFD6-9894-4E7C-9AB3-A8043C6681E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BA2D97BC-B99D-4640-A4F8-F6D2BEDC9738}">
      <dgm:prSet phldrT="[Tekst]"/>
      <dgm:spPr>
        <a:xfrm>
          <a:off x="1812484" y="109996"/>
          <a:ext cx="1020220" cy="647839"/>
        </a:xfr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enterprises</a:t>
          </a:r>
        </a:p>
      </dgm:t>
    </dgm:pt>
    <dgm:pt modelId="{E841A0B2-AEC4-453A-8CE6-F7511060ADDB}" type="parTrans" cxnId="{37AB5824-B29F-456D-A3C8-DC8C9F7C1855}">
      <dgm:prSet/>
      <dgm:spPr/>
      <dgm:t>
        <a:bodyPr/>
        <a:lstStyle/>
        <a:p>
          <a:endParaRPr lang="en-GB"/>
        </a:p>
      </dgm:t>
    </dgm:pt>
    <dgm:pt modelId="{B9FC9793-9D84-4358-973C-B366A88B79A5}" type="sibTrans" cxnId="{37AB5824-B29F-456D-A3C8-DC8C9F7C1855}">
      <dgm:prSet/>
      <dgm:spPr/>
      <dgm:t>
        <a:bodyPr/>
        <a:lstStyle/>
        <a:p>
          <a:endParaRPr lang="en-GB"/>
        </a:p>
      </dgm:t>
    </dgm:pt>
    <dgm:pt modelId="{8A45AA31-8447-46D1-9D99-D87E0996049B}">
      <dgm:prSet phldrT="[Tekst]"/>
      <dgm:spPr>
        <a:xfrm>
          <a:off x="1189016" y="1054550"/>
          <a:ext cx="1020220" cy="647839"/>
        </a:xfr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SMEs </a:t>
          </a:r>
          <a:b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(less than 250FTE)</a:t>
          </a:r>
        </a:p>
      </dgm:t>
    </dgm:pt>
    <dgm:pt modelId="{0B89EA6A-6B6D-437A-8B94-F9BA1C2E31CB}" type="parTrans" cxnId="{136D3AD9-ACC4-443D-9F8C-23A4CC864563}">
      <dgm:prSet/>
      <dgm:spPr>
        <a:xfrm>
          <a:off x="1585768" y="650146"/>
          <a:ext cx="623467" cy="296714"/>
        </a:xfrm>
        <a:noFill/>
        <a:ln w="25400" cap="flat" cmpd="sng" algn="ctr">
          <a:solidFill>
            <a:srgbClr val="385988">
              <a:shade val="60000"/>
              <a:hueOff val="0"/>
              <a:satOff val="0"/>
              <a:lumOff val="0"/>
              <a:alphaOff val="0"/>
            </a:srgbClr>
          </a:solidFill>
          <a:prstDash val="solid"/>
        </a:ln>
        <a:effectLst/>
      </dgm:spPr>
      <dgm:t>
        <a:bodyPr/>
        <a:lstStyle/>
        <a:p>
          <a:endParaRPr lang="en-GB"/>
        </a:p>
      </dgm:t>
    </dgm:pt>
    <dgm:pt modelId="{6257B0B9-92E7-4ED0-B644-AF5364DE7203}" type="sibTrans" cxnId="{136D3AD9-ACC4-443D-9F8C-23A4CC864563}">
      <dgm:prSet/>
      <dgm:spPr/>
      <dgm:t>
        <a:bodyPr/>
        <a:lstStyle/>
        <a:p>
          <a:endParaRPr lang="en-GB"/>
        </a:p>
      </dgm:t>
    </dgm:pt>
    <dgm:pt modelId="{3A3EE3AF-D688-4AB9-9912-4FCD5FBD8F2E}">
      <dgm:prSet phldrT="[Tekst]"/>
      <dgm:spPr>
        <a:xfrm>
          <a:off x="565548" y="1999104"/>
          <a:ext cx="1020220" cy="647839"/>
        </a:xfr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Independent SMEs</a:t>
          </a:r>
        </a:p>
      </dgm:t>
    </dgm:pt>
    <dgm:pt modelId="{C2741BC1-8C8A-4B74-A703-CE1E1860368C}" type="parTrans" cxnId="{AACD1EEC-1336-41AB-898A-21325ED0FE5A}">
      <dgm:prSet/>
      <dgm:spPr>
        <a:xfrm>
          <a:off x="962300" y="1594700"/>
          <a:ext cx="623467" cy="296714"/>
        </a:xfrm>
        <a:noFill/>
        <a:ln w="25400" cap="flat" cmpd="sng" algn="ctr">
          <a:solidFill>
            <a:srgbClr val="385988">
              <a:shade val="80000"/>
              <a:hueOff val="0"/>
              <a:satOff val="0"/>
              <a:lumOff val="0"/>
              <a:alphaOff val="0"/>
            </a:srgbClr>
          </a:solidFill>
          <a:prstDash val="solid"/>
        </a:ln>
        <a:effectLst/>
      </dgm:spPr>
      <dgm:t>
        <a:bodyPr/>
        <a:lstStyle/>
        <a:p>
          <a:endParaRPr lang="en-GB"/>
        </a:p>
      </dgm:t>
    </dgm:pt>
    <dgm:pt modelId="{0F09E520-AED0-4946-BFFB-6288CFDFB69B}" type="sibTrans" cxnId="{AACD1EEC-1336-41AB-898A-21325ED0FE5A}">
      <dgm:prSet/>
      <dgm:spPr/>
      <dgm:t>
        <a:bodyPr/>
        <a:lstStyle/>
        <a:p>
          <a:endParaRPr lang="en-GB"/>
        </a:p>
      </dgm:t>
    </dgm:pt>
    <dgm:pt modelId="{7918A37C-CD24-40AC-B96C-A57BE69C7501}">
      <dgm:prSet phldrT="[Tekst]"/>
      <dgm:spPr>
        <a:xfrm>
          <a:off x="1812484" y="1999104"/>
          <a:ext cx="1020220" cy="647839"/>
        </a:xfr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SMEs with group affiliation(s)</a:t>
          </a:r>
        </a:p>
      </dgm:t>
    </dgm:pt>
    <dgm:pt modelId="{2795DF3D-25DA-44EF-91F5-97C9C78E67AD}" type="parTrans" cxnId="{84053214-BA1E-4AB3-95A1-F7BB25C4E832}">
      <dgm:prSet/>
      <dgm:spPr>
        <a:xfrm>
          <a:off x="1585768" y="1594700"/>
          <a:ext cx="623467" cy="296714"/>
        </a:xfrm>
        <a:noFill/>
        <a:ln w="25400" cap="flat" cmpd="sng" algn="ctr">
          <a:solidFill>
            <a:srgbClr val="385988">
              <a:shade val="80000"/>
              <a:hueOff val="0"/>
              <a:satOff val="0"/>
              <a:lumOff val="0"/>
              <a:alphaOff val="0"/>
            </a:srgbClr>
          </a:solidFill>
          <a:prstDash val="solid"/>
        </a:ln>
        <a:effectLst/>
      </dgm:spPr>
      <dgm:t>
        <a:bodyPr/>
        <a:lstStyle/>
        <a:p>
          <a:endParaRPr lang="en-GB"/>
        </a:p>
      </dgm:t>
    </dgm:pt>
    <dgm:pt modelId="{AB6728B8-C0A6-489B-9F66-FFB3919C56C3}" type="sibTrans" cxnId="{84053214-BA1E-4AB3-95A1-F7BB25C4E832}">
      <dgm:prSet/>
      <dgm:spPr/>
      <dgm:t>
        <a:bodyPr/>
        <a:lstStyle/>
        <a:p>
          <a:endParaRPr lang="en-GB"/>
        </a:p>
      </dgm:t>
    </dgm:pt>
    <dgm:pt modelId="{F846922E-4223-4A27-BF6F-230DFCCC7EA6}">
      <dgm:prSet phldrT="[Tekst]"/>
      <dgm:spPr>
        <a:xfrm>
          <a:off x="2888142" y="1042727"/>
          <a:ext cx="1020220" cy="647839"/>
        </a:xfr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Large enterprises</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Large enterprises (250+ FTE)</a:t>
          </a:r>
        </a:p>
      </dgm:t>
    </dgm:pt>
    <dgm:pt modelId="{0A828009-9A34-4B52-BF2F-32D79843B208}" type="parTrans" cxnId="{B0FFECB7-97B3-4467-9B9B-CDE4D394352C}">
      <dgm:prSet/>
      <dgm:spPr>
        <a:xfrm>
          <a:off x="2209236" y="650146"/>
          <a:ext cx="1075658" cy="284890"/>
        </a:xfrm>
        <a:noFill/>
        <a:ln w="25400" cap="flat" cmpd="sng" algn="ctr">
          <a:solidFill>
            <a:srgbClr val="385988">
              <a:shade val="60000"/>
              <a:hueOff val="0"/>
              <a:satOff val="0"/>
              <a:lumOff val="0"/>
              <a:alphaOff val="0"/>
            </a:srgbClr>
          </a:solidFill>
          <a:prstDash val="solid"/>
        </a:ln>
        <a:effectLst/>
      </dgm:spPr>
      <dgm:t>
        <a:bodyPr/>
        <a:lstStyle/>
        <a:p>
          <a:endParaRPr lang="en-GB"/>
        </a:p>
      </dgm:t>
    </dgm:pt>
    <dgm:pt modelId="{639D552A-8773-4EEC-938A-B208B41920C8}" type="sibTrans" cxnId="{B0FFECB7-97B3-4467-9B9B-CDE4D394352C}">
      <dgm:prSet/>
      <dgm:spPr/>
      <dgm:t>
        <a:bodyPr/>
        <a:lstStyle/>
        <a:p>
          <a:endParaRPr lang="en-GB"/>
        </a:p>
      </dgm:t>
    </dgm:pt>
    <dgm:pt modelId="{363AD7F1-FB66-4605-B02E-7C4A45F0A74F}">
      <dgm:prSet/>
      <dgm:spPr>
        <a:xfrm>
          <a:off x="1189016" y="2943658"/>
          <a:ext cx="1020220" cy="647839"/>
        </a:xfr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Domestic SME group SMEs</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Dependent SME belonging to domestic SME group</a:t>
          </a:r>
        </a:p>
      </dgm:t>
    </dgm:pt>
    <dgm:pt modelId="{4803599E-B65E-4289-8249-9130CB6777BA}" type="parTrans" cxnId="{ABB22A79-1E54-4A27-A869-898ACE4D6F2E}">
      <dgm:prSet/>
      <dgm:spPr>
        <a:xfrm>
          <a:off x="1585768" y="2539254"/>
          <a:ext cx="623467" cy="296714"/>
        </a:xfrm>
        <a:noFill/>
        <a:ln w="25400" cap="flat" cmpd="sng" algn="ctr">
          <a:solidFill>
            <a:srgbClr val="385988">
              <a:shade val="80000"/>
              <a:hueOff val="0"/>
              <a:satOff val="0"/>
              <a:lumOff val="0"/>
              <a:alphaOff val="0"/>
            </a:srgbClr>
          </a:solidFill>
          <a:prstDash val="solid"/>
        </a:ln>
        <a:effectLst/>
      </dgm:spPr>
      <dgm:t>
        <a:bodyPr/>
        <a:lstStyle/>
        <a:p>
          <a:endParaRPr lang="en-GB"/>
        </a:p>
      </dgm:t>
    </dgm:pt>
    <dgm:pt modelId="{021E71DB-D46B-4801-9B45-D935EFCA2224}" type="sibTrans" cxnId="{ABB22A79-1E54-4A27-A869-898ACE4D6F2E}">
      <dgm:prSet/>
      <dgm:spPr/>
      <dgm:t>
        <a:bodyPr/>
        <a:lstStyle/>
        <a:p>
          <a:endParaRPr lang="en-GB"/>
        </a:p>
      </dgm:t>
    </dgm:pt>
    <dgm:pt modelId="{E57225BC-18F5-44DB-AF3C-B6CA2EA2A61A}">
      <dgm:prSet/>
      <dgm:spPr>
        <a:xfrm>
          <a:off x="2435952" y="2943658"/>
          <a:ext cx="1020220" cy="647839"/>
        </a:xfr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Large group SMEs</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Dependent SME belonging to domestic large group</a:t>
          </a:r>
        </a:p>
      </dgm:t>
    </dgm:pt>
    <dgm:pt modelId="{6D1FB991-5C5E-4758-9B5B-C72A5E09C7CA}" type="parTrans" cxnId="{12F5740F-4016-47C7-A825-B0163DFC8574}">
      <dgm:prSet/>
      <dgm:spPr>
        <a:xfrm>
          <a:off x="2209236" y="2539254"/>
          <a:ext cx="623467" cy="296714"/>
        </a:xfrm>
        <a:noFill/>
        <a:ln w="25400" cap="flat" cmpd="sng" algn="ctr">
          <a:solidFill>
            <a:srgbClr val="385988">
              <a:shade val="80000"/>
              <a:hueOff val="0"/>
              <a:satOff val="0"/>
              <a:lumOff val="0"/>
              <a:alphaOff val="0"/>
            </a:srgbClr>
          </a:solidFill>
          <a:prstDash val="solid"/>
        </a:ln>
        <a:effectLst/>
      </dgm:spPr>
      <dgm:t>
        <a:bodyPr/>
        <a:lstStyle/>
        <a:p>
          <a:endParaRPr lang="en-GB"/>
        </a:p>
      </dgm:t>
    </dgm:pt>
    <dgm:pt modelId="{8A83BBF4-163C-4424-9C36-813926363193}" type="sibTrans" cxnId="{12F5740F-4016-47C7-A825-B0163DFC8574}">
      <dgm:prSet/>
      <dgm:spPr/>
      <dgm:t>
        <a:bodyPr/>
        <a:lstStyle/>
        <a:p>
          <a:endParaRPr lang="en-GB"/>
        </a:p>
      </dgm:t>
    </dgm:pt>
    <dgm:pt modelId="{CFE8193A-5CC0-4273-B25A-EC387F9780C2}" type="pres">
      <dgm:prSet presAssocID="{6113DFD6-9894-4E7C-9AB3-A8043C6681E6}" presName="hierChild1" presStyleCnt="0">
        <dgm:presLayoutVars>
          <dgm:chPref val="1"/>
          <dgm:dir/>
          <dgm:animOne val="branch"/>
          <dgm:animLvl val="lvl"/>
          <dgm:resizeHandles/>
        </dgm:presLayoutVars>
      </dgm:prSet>
      <dgm:spPr/>
      <dgm:t>
        <a:bodyPr/>
        <a:lstStyle/>
        <a:p>
          <a:endParaRPr lang="en-GB"/>
        </a:p>
      </dgm:t>
    </dgm:pt>
    <dgm:pt modelId="{0FA758E3-E93C-43EA-8CDC-4441B69AFE23}" type="pres">
      <dgm:prSet presAssocID="{BA2D97BC-B99D-4640-A4F8-F6D2BEDC9738}" presName="hierRoot1" presStyleCnt="0"/>
      <dgm:spPr/>
    </dgm:pt>
    <dgm:pt modelId="{43AEB00D-B465-4773-B0FE-53B6B68DF1F6}" type="pres">
      <dgm:prSet presAssocID="{BA2D97BC-B99D-4640-A4F8-F6D2BEDC9738}" presName="composite" presStyleCnt="0"/>
      <dgm:spPr/>
    </dgm:pt>
    <dgm:pt modelId="{0E9A9FA2-288E-4CDE-9CD8-A1A02D83ADAD}" type="pres">
      <dgm:prSet presAssocID="{BA2D97BC-B99D-4640-A4F8-F6D2BEDC9738}" presName="background" presStyleLbl="node0" presStyleIdx="0" presStyleCnt="1"/>
      <dgm:spPr>
        <a:xfrm>
          <a:off x="1699126" y="2306"/>
          <a:ext cx="1020220" cy="647839"/>
        </a:xfrm>
        <a:prstGeom prst="roundRect">
          <a:avLst>
            <a:gd name="adj" fmla="val 10000"/>
          </a:avLst>
        </a:prstGeom>
        <a:solidFill>
          <a:srgbClr val="385988">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a-DK"/>
        </a:p>
      </dgm:t>
    </dgm:pt>
    <dgm:pt modelId="{2FFDC9FA-0465-42EE-A68B-6DB5830009A2}" type="pres">
      <dgm:prSet presAssocID="{BA2D97BC-B99D-4640-A4F8-F6D2BEDC9738}"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3CDC227D-6E57-4D28-806D-9E2CDC312EB8}" type="pres">
      <dgm:prSet presAssocID="{BA2D97BC-B99D-4640-A4F8-F6D2BEDC9738}" presName="hierChild2" presStyleCnt="0"/>
      <dgm:spPr/>
    </dgm:pt>
    <dgm:pt modelId="{2D16D832-12AB-468A-9459-CF1C02DD3CA5}" type="pres">
      <dgm:prSet presAssocID="{0B89EA6A-6B6D-437A-8B94-F9BA1C2E31CB}" presName="Name10" presStyleLbl="parChTrans1D2" presStyleIdx="0" presStyleCnt="2"/>
      <dgm:spPr>
        <a:custGeom>
          <a:avLst/>
          <a:gdLst/>
          <a:ahLst/>
          <a:cxnLst/>
          <a:rect l="0" t="0" r="0" b="0"/>
          <a:pathLst>
            <a:path>
              <a:moveTo>
                <a:pt x="623467" y="0"/>
              </a:moveTo>
              <a:lnTo>
                <a:pt x="623467" y="202201"/>
              </a:lnTo>
              <a:lnTo>
                <a:pt x="0" y="202201"/>
              </a:lnTo>
              <a:lnTo>
                <a:pt x="0" y="296714"/>
              </a:lnTo>
            </a:path>
          </a:pathLst>
        </a:custGeom>
      </dgm:spPr>
      <dgm:t>
        <a:bodyPr/>
        <a:lstStyle/>
        <a:p>
          <a:endParaRPr lang="en-GB"/>
        </a:p>
      </dgm:t>
    </dgm:pt>
    <dgm:pt modelId="{7B0E5ECA-9542-45AB-8ADC-3B82E1986837}" type="pres">
      <dgm:prSet presAssocID="{8A45AA31-8447-46D1-9D99-D87E0996049B}" presName="hierRoot2" presStyleCnt="0"/>
      <dgm:spPr/>
    </dgm:pt>
    <dgm:pt modelId="{AAF5BADD-EF49-489A-B504-9B06877B95CB}" type="pres">
      <dgm:prSet presAssocID="{8A45AA31-8447-46D1-9D99-D87E0996049B}" presName="composite2" presStyleCnt="0"/>
      <dgm:spPr/>
    </dgm:pt>
    <dgm:pt modelId="{83F7094B-F6D1-42DA-B13B-9ED24621A0CE}" type="pres">
      <dgm:prSet presAssocID="{8A45AA31-8447-46D1-9D99-D87E0996049B}" presName="background2" presStyleLbl="node2" presStyleIdx="0" presStyleCnt="2"/>
      <dgm:spPr>
        <a:xfrm>
          <a:off x="1075658" y="946860"/>
          <a:ext cx="1020220" cy="647839"/>
        </a:xfrm>
        <a:prstGeom prst="roundRect">
          <a:avLst>
            <a:gd name="adj" fmla="val 10000"/>
          </a:avLst>
        </a:prstGeom>
        <a:solidFill>
          <a:srgbClr val="385988">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a-DK"/>
        </a:p>
      </dgm:t>
    </dgm:pt>
    <dgm:pt modelId="{B1058D3F-E7C7-4BA0-9154-0BD803A52978}" type="pres">
      <dgm:prSet presAssocID="{8A45AA31-8447-46D1-9D99-D87E0996049B}" presName="text2" presStyleLbl="fgAcc2" presStyleIdx="0" presStyleCnt="2">
        <dgm:presLayoutVars>
          <dgm:chPref val="3"/>
        </dgm:presLayoutVars>
      </dgm:prSet>
      <dgm:spPr>
        <a:prstGeom prst="roundRect">
          <a:avLst>
            <a:gd name="adj" fmla="val 10000"/>
          </a:avLst>
        </a:prstGeom>
      </dgm:spPr>
      <dgm:t>
        <a:bodyPr/>
        <a:lstStyle/>
        <a:p>
          <a:endParaRPr lang="en-GB"/>
        </a:p>
      </dgm:t>
    </dgm:pt>
    <dgm:pt modelId="{40BD9BFA-677C-4417-BC37-25530AB35228}" type="pres">
      <dgm:prSet presAssocID="{8A45AA31-8447-46D1-9D99-D87E0996049B}" presName="hierChild3" presStyleCnt="0"/>
      <dgm:spPr/>
    </dgm:pt>
    <dgm:pt modelId="{712547A7-414A-4A5B-BAAE-3D3DD043005D}" type="pres">
      <dgm:prSet presAssocID="{C2741BC1-8C8A-4B74-A703-CE1E1860368C}" presName="Name17" presStyleLbl="parChTrans1D3" presStyleIdx="0" presStyleCnt="2"/>
      <dgm:spPr>
        <a:custGeom>
          <a:avLst/>
          <a:gdLst/>
          <a:ahLst/>
          <a:cxnLst/>
          <a:rect l="0" t="0" r="0" b="0"/>
          <a:pathLst>
            <a:path>
              <a:moveTo>
                <a:pt x="623467" y="0"/>
              </a:moveTo>
              <a:lnTo>
                <a:pt x="623467" y="202201"/>
              </a:lnTo>
              <a:lnTo>
                <a:pt x="0" y="202201"/>
              </a:lnTo>
              <a:lnTo>
                <a:pt x="0" y="296714"/>
              </a:lnTo>
            </a:path>
          </a:pathLst>
        </a:custGeom>
      </dgm:spPr>
      <dgm:t>
        <a:bodyPr/>
        <a:lstStyle/>
        <a:p>
          <a:endParaRPr lang="en-GB"/>
        </a:p>
      </dgm:t>
    </dgm:pt>
    <dgm:pt modelId="{3FE41E20-FBAA-4E56-910C-0CCCDCE652CA}" type="pres">
      <dgm:prSet presAssocID="{3A3EE3AF-D688-4AB9-9912-4FCD5FBD8F2E}" presName="hierRoot3" presStyleCnt="0"/>
      <dgm:spPr/>
    </dgm:pt>
    <dgm:pt modelId="{A2616F8B-A917-43E6-BC20-9B7812E8493C}" type="pres">
      <dgm:prSet presAssocID="{3A3EE3AF-D688-4AB9-9912-4FCD5FBD8F2E}" presName="composite3" presStyleCnt="0"/>
      <dgm:spPr/>
    </dgm:pt>
    <dgm:pt modelId="{50735B0B-3386-41D8-A468-9EBDC232903D}" type="pres">
      <dgm:prSet presAssocID="{3A3EE3AF-D688-4AB9-9912-4FCD5FBD8F2E}" presName="background3" presStyleLbl="node3" presStyleIdx="0" presStyleCnt="2"/>
      <dgm:spPr>
        <a:xfrm>
          <a:off x="452190" y="1891414"/>
          <a:ext cx="1020220" cy="647839"/>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ln>
        <a:effectLst/>
      </dgm:spPr>
      <dgm:t>
        <a:bodyPr/>
        <a:lstStyle/>
        <a:p>
          <a:endParaRPr lang="da-DK"/>
        </a:p>
      </dgm:t>
    </dgm:pt>
    <dgm:pt modelId="{23844C5D-B1D5-4E11-8811-2A11EF801CE4}" type="pres">
      <dgm:prSet presAssocID="{3A3EE3AF-D688-4AB9-9912-4FCD5FBD8F2E}" presName="text3" presStyleLbl="fgAcc3" presStyleIdx="0" presStyleCnt="2">
        <dgm:presLayoutVars>
          <dgm:chPref val="3"/>
        </dgm:presLayoutVars>
      </dgm:prSet>
      <dgm:spPr>
        <a:prstGeom prst="roundRect">
          <a:avLst>
            <a:gd name="adj" fmla="val 10000"/>
          </a:avLst>
        </a:prstGeom>
      </dgm:spPr>
      <dgm:t>
        <a:bodyPr/>
        <a:lstStyle/>
        <a:p>
          <a:endParaRPr lang="en-GB"/>
        </a:p>
      </dgm:t>
    </dgm:pt>
    <dgm:pt modelId="{370979ED-41CB-4978-A7EC-D664A28FE989}" type="pres">
      <dgm:prSet presAssocID="{3A3EE3AF-D688-4AB9-9912-4FCD5FBD8F2E}" presName="hierChild4" presStyleCnt="0"/>
      <dgm:spPr/>
    </dgm:pt>
    <dgm:pt modelId="{1C603390-074C-4AED-9A67-443ADB9EE2F9}" type="pres">
      <dgm:prSet presAssocID="{2795DF3D-25DA-44EF-91F5-97C9C78E67AD}" presName="Name17" presStyleLbl="parChTrans1D3" presStyleIdx="1" presStyleCnt="2"/>
      <dgm:spPr>
        <a:custGeom>
          <a:avLst/>
          <a:gdLst/>
          <a:ahLst/>
          <a:cxnLst/>
          <a:rect l="0" t="0" r="0" b="0"/>
          <a:pathLst>
            <a:path>
              <a:moveTo>
                <a:pt x="0" y="0"/>
              </a:moveTo>
              <a:lnTo>
                <a:pt x="0" y="202201"/>
              </a:lnTo>
              <a:lnTo>
                <a:pt x="623467" y="202201"/>
              </a:lnTo>
              <a:lnTo>
                <a:pt x="623467" y="296714"/>
              </a:lnTo>
            </a:path>
          </a:pathLst>
        </a:custGeom>
      </dgm:spPr>
      <dgm:t>
        <a:bodyPr/>
        <a:lstStyle/>
        <a:p>
          <a:endParaRPr lang="en-GB"/>
        </a:p>
      </dgm:t>
    </dgm:pt>
    <dgm:pt modelId="{8859890E-51B4-41CC-8196-A36E1DC462C3}" type="pres">
      <dgm:prSet presAssocID="{7918A37C-CD24-40AC-B96C-A57BE69C7501}" presName="hierRoot3" presStyleCnt="0"/>
      <dgm:spPr/>
    </dgm:pt>
    <dgm:pt modelId="{D585EED5-20AB-4083-9FE5-3E3BAF434514}" type="pres">
      <dgm:prSet presAssocID="{7918A37C-CD24-40AC-B96C-A57BE69C7501}" presName="composite3" presStyleCnt="0"/>
      <dgm:spPr/>
    </dgm:pt>
    <dgm:pt modelId="{F6A5A10A-E953-4F76-9ECD-CB0B9C5A1D7B}" type="pres">
      <dgm:prSet presAssocID="{7918A37C-CD24-40AC-B96C-A57BE69C7501}" presName="background3" presStyleLbl="node3" presStyleIdx="1" presStyleCnt="2"/>
      <dgm:spPr>
        <a:xfrm>
          <a:off x="1699126" y="1891414"/>
          <a:ext cx="1020220" cy="647839"/>
        </a:xfrm>
        <a:prstGeom prst="roundRect">
          <a:avLst>
            <a:gd name="adj" fmla="val 10000"/>
          </a:avLst>
        </a:prstGeom>
        <a:solidFill>
          <a:srgbClr val="385988">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a-DK"/>
        </a:p>
      </dgm:t>
    </dgm:pt>
    <dgm:pt modelId="{E62C8716-50ED-447C-8F27-DADE8614A294}" type="pres">
      <dgm:prSet presAssocID="{7918A37C-CD24-40AC-B96C-A57BE69C7501}" presName="text3" presStyleLbl="fgAcc3" presStyleIdx="1" presStyleCnt="2">
        <dgm:presLayoutVars>
          <dgm:chPref val="3"/>
        </dgm:presLayoutVars>
      </dgm:prSet>
      <dgm:spPr>
        <a:prstGeom prst="roundRect">
          <a:avLst>
            <a:gd name="adj" fmla="val 10000"/>
          </a:avLst>
        </a:prstGeom>
      </dgm:spPr>
      <dgm:t>
        <a:bodyPr/>
        <a:lstStyle/>
        <a:p>
          <a:endParaRPr lang="en-GB"/>
        </a:p>
      </dgm:t>
    </dgm:pt>
    <dgm:pt modelId="{C7DC82B0-774A-49D7-B4FD-A5A42811A12D}" type="pres">
      <dgm:prSet presAssocID="{7918A37C-CD24-40AC-B96C-A57BE69C7501}" presName="hierChild4" presStyleCnt="0"/>
      <dgm:spPr/>
    </dgm:pt>
    <dgm:pt modelId="{5B71AFB2-6280-4554-BA71-BED32ED6E063}" type="pres">
      <dgm:prSet presAssocID="{4803599E-B65E-4289-8249-9130CB6777BA}" presName="Name23" presStyleLbl="parChTrans1D4" presStyleIdx="0" presStyleCnt="2"/>
      <dgm:spPr>
        <a:custGeom>
          <a:avLst/>
          <a:gdLst/>
          <a:ahLst/>
          <a:cxnLst/>
          <a:rect l="0" t="0" r="0" b="0"/>
          <a:pathLst>
            <a:path>
              <a:moveTo>
                <a:pt x="623467" y="0"/>
              </a:moveTo>
              <a:lnTo>
                <a:pt x="623467" y="202201"/>
              </a:lnTo>
              <a:lnTo>
                <a:pt x="0" y="202201"/>
              </a:lnTo>
              <a:lnTo>
                <a:pt x="0" y="296714"/>
              </a:lnTo>
            </a:path>
          </a:pathLst>
        </a:custGeom>
      </dgm:spPr>
      <dgm:t>
        <a:bodyPr/>
        <a:lstStyle/>
        <a:p>
          <a:endParaRPr lang="en-GB"/>
        </a:p>
      </dgm:t>
    </dgm:pt>
    <dgm:pt modelId="{4D43AEC5-862C-46DC-B159-4E925CB53938}" type="pres">
      <dgm:prSet presAssocID="{363AD7F1-FB66-4605-B02E-7C4A45F0A74F}" presName="hierRoot4" presStyleCnt="0"/>
      <dgm:spPr/>
    </dgm:pt>
    <dgm:pt modelId="{2D5D4A91-E0C9-4EBD-9112-4A26DDE06AFD}" type="pres">
      <dgm:prSet presAssocID="{363AD7F1-FB66-4605-B02E-7C4A45F0A74F}" presName="composite4" presStyleCnt="0"/>
      <dgm:spPr/>
    </dgm:pt>
    <dgm:pt modelId="{7739DF29-9A9A-415D-9DDC-738B2BE1EE96}" type="pres">
      <dgm:prSet presAssocID="{363AD7F1-FB66-4605-B02E-7C4A45F0A74F}" presName="background4" presStyleLbl="node4" presStyleIdx="0" presStyleCnt="2"/>
      <dgm:spPr>
        <a:xfrm>
          <a:off x="1075658" y="2835968"/>
          <a:ext cx="1020220" cy="647839"/>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ln>
        <a:effectLst/>
      </dgm:spPr>
      <dgm:t>
        <a:bodyPr/>
        <a:lstStyle/>
        <a:p>
          <a:endParaRPr lang="da-DK"/>
        </a:p>
      </dgm:t>
    </dgm:pt>
    <dgm:pt modelId="{507404B3-D221-40A2-AFAE-ED6B78FCA577}" type="pres">
      <dgm:prSet presAssocID="{363AD7F1-FB66-4605-B02E-7C4A45F0A74F}" presName="text4" presStyleLbl="fgAcc4" presStyleIdx="0" presStyleCnt="2">
        <dgm:presLayoutVars>
          <dgm:chPref val="3"/>
        </dgm:presLayoutVars>
      </dgm:prSet>
      <dgm:spPr>
        <a:prstGeom prst="roundRect">
          <a:avLst>
            <a:gd name="adj" fmla="val 10000"/>
          </a:avLst>
        </a:prstGeom>
      </dgm:spPr>
      <dgm:t>
        <a:bodyPr/>
        <a:lstStyle/>
        <a:p>
          <a:endParaRPr lang="en-GB"/>
        </a:p>
      </dgm:t>
    </dgm:pt>
    <dgm:pt modelId="{BF1299F9-2CDC-42B6-AEE7-5A2EA2BDF4E2}" type="pres">
      <dgm:prSet presAssocID="{363AD7F1-FB66-4605-B02E-7C4A45F0A74F}" presName="hierChild5" presStyleCnt="0"/>
      <dgm:spPr/>
    </dgm:pt>
    <dgm:pt modelId="{AF37C06D-E4C1-417D-8E37-8D67F5408805}" type="pres">
      <dgm:prSet presAssocID="{6D1FB991-5C5E-4758-9B5B-C72A5E09C7CA}" presName="Name23" presStyleLbl="parChTrans1D4" presStyleIdx="1" presStyleCnt="2"/>
      <dgm:spPr>
        <a:custGeom>
          <a:avLst/>
          <a:gdLst/>
          <a:ahLst/>
          <a:cxnLst/>
          <a:rect l="0" t="0" r="0" b="0"/>
          <a:pathLst>
            <a:path>
              <a:moveTo>
                <a:pt x="0" y="0"/>
              </a:moveTo>
              <a:lnTo>
                <a:pt x="0" y="202201"/>
              </a:lnTo>
              <a:lnTo>
                <a:pt x="623467" y="202201"/>
              </a:lnTo>
              <a:lnTo>
                <a:pt x="623467" y="296714"/>
              </a:lnTo>
            </a:path>
          </a:pathLst>
        </a:custGeom>
      </dgm:spPr>
      <dgm:t>
        <a:bodyPr/>
        <a:lstStyle/>
        <a:p>
          <a:endParaRPr lang="en-GB"/>
        </a:p>
      </dgm:t>
    </dgm:pt>
    <dgm:pt modelId="{24FD0634-E8BB-45D3-8FFE-8685673F43F0}" type="pres">
      <dgm:prSet presAssocID="{E57225BC-18F5-44DB-AF3C-B6CA2EA2A61A}" presName="hierRoot4" presStyleCnt="0"/>
      <dgm:spPr/>
    </dgm:pt>
    <dgm:pt modelId="{9C86E1B6-8119-4EFD-93FD-2DEE233223CE}" type="pres">
      <dgm:prSet presAssocID="{E57225BC-18F5-44DB-AF3C-B6CA2EA2A61A}" presName="composite4" presStyleCnt="0"/>
      <dgm:spPr/>
    </dgm:pt>
    <dgm:pt modelId="{82631BE3-4673-4281-ABA2-FF15D09B6B97}" type="pres">
      <dgm:prSet presAssocID="{E57225BC-18F5-44DB-AF3C-B6CA2EA2A61A}" presName="background4" presStyleLbl="node4" presStyleIdx="1" presStyleCnt="2"/>
      <dgm:spPr>
        <a:xfrm>
          <a:off x="2322594" y="2835968"/>
          <a:ext cx="1020220" cy="647839"/>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ln>
        <a:effectLst/>
      </dgm:spPr>
      <dgm:t>
        <a:bodyPr/>
        <a:lstStyle/>
        <a:p>
          <a:endParaRPr lang="da-DK"/>
        </a:p>
      </dgm:t>
    </dgm:pt>
    <dgm:pt modelId="{6FD78255-B1AE-42EC-8225-9FCF13E8E693}" type="pres">
      <dgm:prSet presAssocID="{E57225BC-18F5-44DB-AF3C-B6CA2EA2A61A}" presName="text4" presStyleLbl="fgAcc4" presStyleIdx="1" presStyleCnt="2">
        <dgm:presLayoutVars>
          <dgm:chPref val="3"/>
        </dgm:presLayoutVars>
      </dgm:prSet>
      <dgm:spPr>
        <a:prstGeom prst="roundRect">
          <a:avLst>
            <a:gd name="adj" fmla="val 10000"/>
          </a:avLst>
        </a:prstGeom>
      </dgm:spPr>
      <dgm:t>
        <a:bodyPr/>
        <a:lstStyle/>
        <a:p>
          <a:endParaRPr lang="en-GB"/>
        </a:p>
      </dgm:t>
    </dgm:pt>
    <dgm:pt modelId="{67507108-9A3E-4575-936C-B168B75231E9}" type="pres">
      <dgm:prSet presAssocID="{E57225BC-18F5-44DB-AF3C-B6CA2EA2A61A}" presName="hierChild5" presStyleCnt="0"/>
      <dgm:spPr/>
    </dgm:pt>
    <dgm:pt modelId="{4B104940-8783-4F8C-B798-B1CC38D78BED}" type="pres">
      <dgm:prSet presAssocID="{0A828009-9A34-4B52-BF2F-32D79843B208}" presName="Name10" presStyleLbl="parChTrans1D2" presStyleIdx="1" presStyleCnt="2"/>
      <dgm:spPr>
        <a:custGeom>
          <a:avLst/>
          <a:gdLst/>
          <a:ahLst/>
          <a:cxnLst/>
          <a:rect l="0" t="0" r="0" b="0"/>
          <a:pathLst>
            <a:path>
              <a:moveTo>
                <a:pt x="0" y="0"/>
              </a:moveTo>
              <a:lnTo>
                <a:pt x="0" y="190378"/>
              </a:lnTo>
              <a:lnTo>
                <a:pt x="1075658" y="190378"/>
              </a:lnTo>
              <a:lnTo>
                <a:pt x="1075658" y="284890"/>
              </a:lnTo>
            </a:path>
          </a:pathLst>
        </a:custGeom>
      </dgm:spPr>
      <dgm:t>
        <a:bodyPr/>
        <a:lstStyle/>
        <a:p>
          <a:endParaRPr lang="en-GB"/>
        </a:p>
      </dgm:t>
    </dgm:pt>
    <dgm:pt modelId="{34865F68-116C-4464-9A25-8C2A66A71F1D}" type="pres">
      <dgm:prSet presAssocID="{F846922E-4223-4A27-BF6F-230DFCCC7EA6}" presName="hierRoot2" presStyleCnt="0"/>
      <dgm:spPr/>
    </dgm:pt>
    <dgm:pt modelId="{12A6FC5B-C8B5-46EB-9B7F-4E753B5EF2C7}" type="pres">
      <dgm:prSet presAssocID="{F846922E-4223-4A27-BF6F-230DFCCC7EA6}" presName="composite2" presStyleCnt="0"/>
      <dgm:spPr/>
    </dgm:pt>
    <dgm:pt modelId="{1FD692F0-5746-4233-BD10-F0CDEE96A6AD}" type="pres">
      <dgm:prSet presAssocID="{F846922E-4223-4A27-BF6F-230DFCCC7EA6}" presName="background2" presStyleLbl="node2" presStyleIdx="1" presStyleCnt="2"/>
      <dgm:spPr>
        <a:xfrm>
          <a:off x="2774785" y="935037"/>
          <a:ext cx="1020220" cy="647839"/>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ln>
        <a:effectLst/>
      </dgm:spPr>
      <dgm:t>
        <a:bodyPr/>
        <a:lstStyle/>
        <a:p>
          <a:endParaRPr lang="da-DK"/>
        </a:p>
      </dgm:t>
    </dgm:pt>
    <dgm:pt modelId="{BF417B9B-7F10-4765-AB3C-AAEFFBF39389}" type="pres">
      <dgm:prSet presAssocID="{F846922E-4223-4A27-BF6F-230DFCCC7EA6}" presName="text2" presStyleLbl="fgAcc2" presStyleIdx="1" presStyleCnt="2" custLinFactNeighborX="53324" custLinFactNeighborY="-1825">
        <dgm:presLayoutVars>
          <dgm:chPref val="3"/>
        </dgm:presLayoutVars>
      </dgm:prSet>
      <dgm:spPr>
        <a:prstGeom prst="roundRect">
          <a:avLst>
            <a:gd name="adj" fmla="val 10000"/>
          </a:avLst>
        </a:prstGeom>
      </dgm:spPr>
      <dgm:t>
        <a:bodyPr/>
        <a:lstStyle/>
        <a:p>
          <a:endParaRPr lang="en-GB"/>
        </a:p>
      </dgm:t>
    </dgm:pt>
    <dgm:pt modelId="{4025B70F-A7CE-4169-860A-C878C8C20F57}" type="pres">
      <dgm:prSet presAssocID="{F846922E-4223-4A27-BF6F-230DFCCC7EA6}" presName="hierChild3" presStyleCnt="0"/>
      <dgm:spPr/>
    </dgm:pt>
  </dgm:ptLst>
  <dgm:cxnLst>
    <dgm:cxn modelId="{AACD1EEC-1336-41AB-898A-21325ED0FE5A}" srcId="{8A45AA31-8447-46D1-9D99-D87E0996049B}" destId="{3A3EE3AF-D688-4AB9-9912-4FCD5FBD8F2E}" srcOrd="0" destOrd="0" parTransId="{C2741BC1-8C8A-4B74-A703-CE1E1860368C}" sibTransId="{0F09E520-AED0-4946-BFFB-6288CFDFB69B}"/>
    <dgm:cxn modelId="{B0FFECB7-97B3-4467-9B9B-CDE4D394352C}" srcId="{BA2D97BC-B99D-4640-A4F8-F6D2BEDC9738}" destId="{F846922E-4223-4A27-BF6F-230DFCCC7EA6}" srcOrd="1" destOrd="0" parTransId="{0A828009-9A34-4B52-BF2F-32D79843B208}" sibTransId="{639D552A-8773-4EEC-938A-B208B41920C8}"/>
    <dgm:cxn modelId="{7B749C9F-893C-4EEE-9F17-F70DBB579176}" type="presOf" srcId="{0B89EA6A-6B6D-437A-8B94-F9BA1C2E31CB}" destId="{2D16D832-12AB-468A-9459-CF1C02DD3CA5}" srcOrd="0" destOrd="0" presId="urn:microsoft.com/office/officeart/2005/8/layout/hierarchy1"/>
    <dgm:cxn modelId="{716464D8-CD6F-400B-8C0F-66F64968090B}" type="presOf" srcId="{E57225BC-18F5-44DB-AF3C-B6CA2EA2A61A}" destId="{6FD78255-B1AE-42EC-8225-9FCF13E8E693}" srcOrd="0" destOrd="0" presId="urn:microsoft.com/office/officeart/2005/8/layout/hierarchy1"/>
    <dgm:cxn modelId="{888E3353-32BA-4502-AF25-FE8FB020BD26}" type="presOf" srcId="{6D1FB991-5C5E-4758-9B5B-C72A5E09C7CA}" destId="{AF37C06D-E4C1-417D-8E37-8D67F5408805}" srcOrd="0" destOrd="0" presId="urn:microsoft.com/office/officeart/2005/8/layout/hierarchy1"/>
    <dgm:cxn modelId="{192A4CD1-D8FD-4240-B5E4-405DF1EC05AA}" type="presOf" srcId="{3A3EE3AF-D688-4AB9-9912-4FCD5FBD8F2E}" destId="{23844C5D-B1D5-4E11-8811-2A11EF801CE4}" srcOrd="0" destOrd="0" presId="urn:microsoft.com/office/officeart/2005/8/layout/hierarchy1"/>
    <dgm:cxn modelId="{136D3AD9-ACC4-443D-9F8C-23A4CC864563}" srcId="{BA2D97BC-B99D-4640-A4F8-F6D2BEDC9738}" destId="{8A45AA31-8447-46D1-9D99-D87E0996049B}" srcOrd="0" destOrd="0" parTransId="{0B89EA6A-6B6D-437A-8B94-F9BA1C2E31CB}" sibTransId="{6257B0B9-92E7-4ED0-B644-AF5364DE7203}"/>
    <dgm:cxn modelId="{54322629-67B3-48E0-B6C3-C8ABF0C42F85}" type="presOf" srcId="{8A45AA31-8447-46D1-9D99-D87E0996049B}" destId="{B1058D3F-E7C7-4BA0-9154-0BD803A52978}" srcOrd="0" destOrd="0" presId="urn:microsoft.com/office/officeart/2005/8/layout/hierarchy1"/>
    <dgm:cxn modelId="{7146CFBF-A795-4D05-BCFF-1ABBBF2E6F6C}" type="presOf" srcId="{0A828009-9A34-4B52-BF2F-32D79843B208}" destId="{4B104940-8783-4F8C-B798-B1CC38D78BED}" srcOrd="0" destOrd="0" presId="urn:microsoft.com/office/officeart/2005/8/layout/hierarchy1"/>
    <dgm:cxn modelId="{ABB22A79-1E54-4A27-A869-898ACE4D6F2E}" srcId="{7918A37C-CD24-40AC-B96C-A57BE69C7501}" destId="{363AD7F1-FB66-4605-B02E-7C4A45F0A74F}" srcOrd="0" destOrd="0" parTransId="{4803599E-B65E-4289-8249-9130CB6777BA}" sibTransId="{021E71DB-D46B-4801-9B45-D935EFCA2224}"/>
    <dgm:cxn modelId="{44018557-EF20-4638-B2E7-7D91FAB18874}" type="presOf" srcId="{7918A37C-CD24-40AC-B96C-A57BE69C7501}" destId="{E62C8716-50ED-447C-8F27-DADE8614A294}" srcOrd="0" destOrd="0" presId="urn:microsoft.com/office/officeart/2005/8/layout/hierarchy1"/>
    <dgm:cxn modelId="{8DD484A5-4D64-482E-B2F8-A507478F2571}" type="presOf" srcId="{C2741BC1-8C8A-4B74-A703-CE1E1860368C}" destId="{712547A7-414A-4A5B-BAAE-3D3DD043005D}" srcOrd="0" destOrd="0" presId="urn:microsoft.com/office/officeart/2005/8/layout/hierarchy1"/>
    <dgm:cxn modelId="{FFD43785-5757-4E72-8D7C-C413F404B8B5}" type="presOf" srcId="{BA2D97BC-B99D-4640-A4F8-F6D2BEDC9738}" destId="{2FFDC9FA-0465-42EE-A68B-6DB5830009A2}" srcOrd="0" destOrd="0" presId="urn:microsoft.com/office/officeart/2005/8/layout/hierarchy1"/>
    <dgm:cxn modelId="{12F5740F-4016-47C7-A825-B0163DFC8574}" srcId="{7918A37C-CD24-40AC-B96C-A57BE69C7501}" destId="{E57225BC-18F5-44DB-AF3C-B6CA2EA2A61A}" srcOrd="1" destOrd="0" parTransId="{6D1FB991-5C5E-4758-9B5B-C72A5E09C7CA}" sibTransId="{8A83BBF4-163C-4424-9C36-813926363193}"/>
    <dgm:cxn modelId="{84053214-BA1E-4AB3-95A1-F7BB25C4E832}" srcId="{8A45AA31-8447-46D1-9D99-D87E0996049B}" destId="{7918A37C-CD24-40AC-B96C-A57BE69C7501}" srcOrd="1" destOrd="0" parTransId="{2795DF3D-25DA-44EF-91F5-97C9C78E67AD}" sibTransId="{AB6728B8-C0A6-489B-9F66-FFB3919C56C3}"/>
    <dgm:cxn modelId="{FE458413-C3E1-4E09-BF4D-C9C64599CFCE}" type="presOf" srcId="{F846922E-4223-4A27-BF6F-230DFCCC7EA6}" destId="{BF417B9B-7F10-4765-AB3C-AAEFFBF39389}" srcOrd="0" destOrd="0" presId="urn:microsoft.com/office/officeart/2005/8/layout/hierarchy1"/>
    <dgm:cxn modelId="{091AED76-CC58-4127-BCFC-B32F920B655E}" type="presOf" srcId="{2795DF3D-25DA-44EF-91F5-97C9C78E67AD}" destId="{1C603390-074C-4AED-9A67-443ADB9EE2F9}" srcOrd="0" destOrd="0" presId="urn:microsoft.com/office/officeart/2005/8/layout/hierarchy1"/>
    <dgm:cxn modelId="{FB0D82AD-37B5-45F4-BF2D-D20E9F278E33}" type="presOf" srcId="{363AD7F1-FB66-4605-B02E-7C4A45F0A74F}" destId="{507404B3-D221-40A2-AFAE-ED6B78FCA577}" srcOrd="0" destOrd="0" presId="urn:microsoft.com/office/officeart/2005/8/layout/hierarchy1"/>
    <dgm:cxn modelId="{E570F880-16F5-4F4D-B58D-3F1EF625717F}" type="presOf" srcId="{6113DFD6-9894-4E7C-9AB3-A8043C6681E6}" destId="{CFE8193A-5CC0-4273-B25A-EC387F9780C2}" srcOrd="0" destOrd="0" presId="urn:microsoft.com/office/officeart/2005/8/layout/hierarchy1"/>
    <dgm:cxn modelId="{A71D89A6-2933-44F7-8AE0-B570A0D55367}" type="presOf" srcId="{4803599E-B65E-4289-8249-9130CB6777BA}" destId="{5B71AFB2-6280-4554-BA71-BED32ED6E063}" srcOrd="0" destOrd="0" presId="urn:microsoft.com/office/officeart/2005/8/layout/hierarchy1"/>
    <dgm:cxn modelId="{37AB5824-B29F-456D-A3C8-DC8C9F7C1855}" srcId="{6113DFD6-9894-4E7C-9AB3-A8043C6681E6}" destId="{BA2D97BC-B99D-4640-A4F8-F6D2BEDC9738}" srcOrd="0" destOrd="0" parTransId="{E841A0B2-AEC4-453A-8CE6-F7511060ADDB}" sibTransId="{B9FC9793-9D84-4358-973C-B366A88B79A5}"/>
    <dgm:cxn modelId="{C0B309BE-A8E9-47AF-9919-2E870D09F7AA}" type="presParOf" srcId="{CFE8193A-5CC0-4273-B25A-EC387F9780C2}" destId="{0FA758E3-E93C-43EA-8CDC-4441B69AFE23}" srcOrd="0" destOrd="0" presId="urn:microsoft.com/office/officeart/2005/8/layout/hierarchy1"/>
    <dgm:cxn modelId="{7BEA85F0-DCDD-472F-A2A8-F12D4F83CFE8}" type="presParOf" srcId="{0FA758E3-E93C-43EA-8CDC-4441B69AFE23}" destId="{43AEB00D-B465-4773-B0FE-53B6B68DF1F6}" srcOrd="0" destOrd="0" presId="urn:microsoft.com/office/officeart/2005/8/layout/hierarchy1"/>
    <dgm:cxn modelId="{068A9E4D-6D34-486C-821E-61265E9EB6F9}" type="presParOf" srcId="{43AEB00D-B465-4773-B0FE-53B6B68DF1F6}" destId="{0E9A9FA2-288E-4CDE-9CD8-A1A02D83ADAD}" srcOrd="0" destOrd="0" presId="urn:microsoft.com/office/officeart/2005/8/layout/hierarchy1"/>
    <dgm:cxn modelId="{5057F516-3CAF-468A-A9B4-8F606024B2B7}" type="presParOf" srcId="{43AEB00D-B465-4773-B0FE-53B6B68DF1F6}" destId="{2FFDC9FA-0465-42EE-A68B-6DB5830009A2}" srcOrd="1" destOrd="0" presId="urn:microsoft.com/office/officeart/2005/8/layout/hierarchy1"/>
    <dgm:cxn modelId="{D9B3D390-ED25-44B6-90CE-D7A26C643D60}" type="presParOf" srcId="{0FA758E3-E93C-43EA-8CDC-4441B69AFE23}" destId="{3CDC227D-6E57-4D28-806D-9E2CDC312EB8}" srcOrd="1" destOrd="0" presId="urn:microsoft.com/office/officeart/2005/8/layout/hierarchy1"/>
    <dgm:cxn modelId="{F96A20D0-575F-4B9D-8AC6-44E0BF970F39}" type="presParOf" srcId="{3CDC227D-6E57-4D28-806D-9E2CDC312EB8}" destId="{2D16D832-12AB-468A-9459-CF1C02DD3CA5}" srcOrd="0" destOrd="0" presId="urn:microsoft.com/office/officeart/2005/8/layout/hierarchy1"/>
    <dgm:cxn modelId="{BDC22963-5F64-4F38-95F2-577E96B13773}" type="presParOf" srcId="{3CDC227D-6E57-4D28-806D-9E2CDC312EB8}" destId="{7B0E5ECA-9542-45AB-8ADC-3B82E1986837}" srcOrd="1" destOrd="0" presId="urn:microsoft.com/office/officeart/2005/8/layout/hierarchy1"/>
    <dgm:cxn modelId="{D92E26D4-B042-420D-B957-B7C559BF88EF}" type="presParOf" srcId="{7B0E5ECA-9542-45AB-8ADC-3B82E1986837}" destId="{AAF5BADD-EF49-489A-B504-9B06877B95CB}" srcOrd="0" destOrd="0" presId="urn:microsoft.com/office/officeart/2005/8/layout/hierarchy1"/>
    <dgm:cxn modelId="{79911E1E-B003-4039-ADC8-016F80F266E7}" type="presParOf" srcId="{AAF5BADD-EF49-489A-B504-9B06877B95CB}" destId="{83F7094B-F6D1-42DA-B13B-9ED24621A0CE}" srcOrd="0" destOrd="0" presId="urn:microsoft.com/office/officeart/2005/8/layout/hierarchy1"/>
    <dgm:cxn modelId="{47E02507-E053-4461-9301-CCA83B3EE583}" type="presParOf" srcId="{AAF5BADD-EF49-489A-B504-9B06877B95CB}" destId="{B1058D3F-E7C7-4BA0-9154-0BD803A52978}" srcOrd="1" destOrd="0" presId="urn:microsoft.com/office/officeart/2005/8/layout/hierarchy1"/>
    <dgm:cxn modelId="{E936ADFF-B677-4112-B8A9-2660561FEBC8}" type="presParOf" srcId="{7B0E5ECA-9542-45AB-8ADC-3B82E1986837}" destId="{40BD9BFA-677C-4417-BC37-25530AB35228}" srcOrd="1" destOrd="0" presId="urn:microsoft.com/office/officeart/2005/8/layout/hierarchy1"/>
    <dgm:cxn modelId="{0AD566C4-726E-44BB-AB92-97E106489DFE}" type="presParOf" srcId="{40BD9BFA-677C-4417-BC37-25530AB35228}" destId="{712547A7-414A-4A5B-BAAE-3D3DD043005D}" srcOrd="0" destOrd="0" presId="urn:microsoft.com/office/officeart/2005/8/layout/hierarchy1"/>
    <dgm:cxn modelId="{FC9F6E42-87A0-4631-83DC-B60027B351A8}" type="presParOf" srcId="{40BD9BFA-677C-4417-BC37-25530AB35228}" destId="{3FE41E20-FBAA-4E56-910C-0CCCDCE652CA}" srcOrd="1" destOrd="0" presId="urn:microsoft.com/office/officeart/2005/8/layout/hierarchy1"/>
    <dgm:cxn modelId="{05D2FE68-6C69-47B7-BF20-A5BBBE098170}" type="presParOf" srcId="{3FE41E20-FBAA-4E56-910C-0CCCDCE652CA}" destId="{A2616F8B-A917-43E6-BC20-9B7812E8493C}" srcOrd="0" destOrd="0" presId="urn:microsoft.com/office/officeart/2005/8/layout/hierarchy1"/>
    <dgm:cxn modelId="{C569A5ED-0C82-46AD-84CE-397BBAD252FC}" type="presParOf" srcId="{A2616F8B-A917-43E6-BC20-9B7812E8493C}" destId="{50735B0B-3386-41D8-A468-9EBDC232903D}" srcOrd="0" destOrd="0" presId="urn:microsoft.com/office/officeart/2005/8/layout/hierarchy1"/>
    <dgm:cxn modelId="{31D0296B-87B6-4D80-BB64-FBCFF5CF0FC7}" type="presParOf" srcId="{A2616F8B-A917-43E6-BC20-9B7812E8493C}" destId="{23844C5D-B1D5-4E11-8811-2A11EF801CE4}" srcOrd="1" destOrd="0" presId="urn:microsoft.com/office/officeart/2005/8/layout/hierarchy1"/>
    <dgm:cxn modelId="{D6B03B1B-B78C-44DD-B4BF-D8895946A8E0}" type="presParOf" srcId="{3FE41E20-FBAA-4E56-910C-0CCCDCE652CA}" destId="{370979ED-41CB-4978-A7EC-D664A28FE989}" srcOrd="1" destOrd="0" presId="urn:microsoft.com/office/officeart/2005/8/layout/hierarchy1"/>
    <dgm:cxn modelId="{F22EDE66-FD3A-4434-9E40-E576A64DB9FC}" type="presParOf" srcId="{40BD9BFA-677C-4417-BC37-25530AB35228}" destId="{1C603390-074C-4AED-9A67-443ADB9EE2F9}" srcOrd="2" destOrd="0" presId="urn:microsoft.com/office/officeart/2005/8/layout/hierarchy1"/>
    <dgm:cxn modelId="{FE31274F-A536-4C56-A3EC-60B4A4A6F9D0}" type="presParOf" srcId="{40BD9BFA-677C-4417-BC37-25530AB35228}" destId="{8859890E-51B4-41CC-8196-A36E1DC462C3}" srcOrd="3" destOrd="0" presId="urn:microsoft.com/office/officeart/2005/8/layout/hierarchy1"/>
    <dgm:cxn modelId="{A2BE834C-0BFE-4D6D-B54A-4DC102346FEB}" type="presParOf" srcId="{8859890E-51B4-41CC-8196-A36E1DC462C3}" destId="{D585EED5-20AB-4083-9FE5-3E3BAF434514}" srcOrd="0" destOrd="0" presId="urn:microsoft.com/office/officeart/2005/8/layout/hierarchy1"/>
    <dgm:cxn modelId="{555E0E34-7A22-4187-8A40-BFC55DF74D4E}" type="presParOf" srcId="{D585EED5-20AB-4083-9FE5-3E3BAF434514}" destId="{F6A5A10A-E953-4F76-9ECD-CB0B9C5A1D7B}" srcOrd="0" destOrd="0" presId="urn:microsoft.com/office/officeart/2005/8/layout/hierarchy1"/>
    <dgm:cxn modelId="{7F832692-AEBA-4E41-A907-A2721855278B}" type="presParOf" srcId="{D585EED5-20AB-4083-9FE5-3E3BAF434514}" destId="{E62C8716-50ED-447C-8F27-DADE8614A294}" srcOrd="1" destOrd="0" presId="urn:microsoft.com/office/officeart/2005/8/layout/hierarchy1"/>
    <dgm:cxn modelId="{BFE79F30-6EF8-4A8E-9F7B-5BCC1B322BDB}" type="presParOf" srcId="{8859890E-51B4-41CC-8196-A36E1DC462C3}" destId="{C7DC82B0-774A-49D7-B4FD-A5A42811A12D}" srcOrd="1" destOrd="0" presId="urn:microsoft.com/office/officeart/2005/8/layout/hierarchy1"/>
    <dgm:cxn modelId="{61B1286B-D20B-4603-8338-CF73C576D316}" type="presParOf" srcId="{C7DC82B0-774A-49D7-B4FD-A5A42811A12D}" destId="{5B71AFB2-6280-4554-BA71-BED32ED6E063}" srcOrd="0" destOrd="0" presId="urn:microsoft.com/office/officeart/2005/8/layout/hierarchy1"/>
    <dgm:cxn modelId="{C9AE63AE-0EC0-40BB-B0A3-B500454F1971}" type="presParOf" srcId="{C7DC82B0-774A-49D7-B4FD-A5A42811A12D}" destId="{4D43AEC5-862C-46DC-B159-4E925CB53938}" srcOrd="1" destOrd="0" presId="urn:microsoft.com/office/officeart/2005/8/layout/hierarchy1"/>
    <dgm:cxn modelId="{9651049E-46FD-42FF-8053-21861091D580}" type="presParOf" srcId="{4D43AEC5-862C-46DC-B159-4E925CB53938}" destId="{2D5D4A91-E0C9-4EBD-9112-4A26DDE06AFD}" srcOrd="0" destOrd="0" presId="urn:microsoft.com/office/officeart/2005/8/layout/hierarchy1"/>
    <dgm:cxn modelId="{7B370C70-F41D-405C-9688-B2A85162A95A}" type="presParOf" srcId="{2D5D4A91-E0C9-4EBD-9112-4A26DDE06AFD}" destId="{7739DF29-9A9A-415D-9DDC-738B2BE1EE96}" srcOrd="0" destOrd="0" presId="urn:microsoft.com/office/officeart/2005/8/layout/hierarchy1"/>
    <dgm:cxn modelId="{A30D342F-856D-4079-B0B8-B6C5A3F57C4F}" type="presParOf" srcId="{2D5D4A91-E0C9-4EBD-9112-4A26DDE06AFD}" destId="{507404B3-D221-40A2-AFAE-ED6B78FCA577}" srcOrd="1" destOrd="0" presId="urn:microsoft.com/office/officeart/2005/8/layout/hierarchy1"/>
    <dgm:cxn modelId="{51937B07-F8C3-42AB-B67C-C2855C50DD76}" type="presParOf" srcId="{4D43AEC5-862C-46DC-B159-4E925CB53938}" destId="{BF1299F9-2CDC-42B6-AEE7-5A2EA2BDF4E2}" srcOrd="1" destOrd="0" presId="urn:microsoft.com/office/officeart/2005/8/layout/hierarchy1"/>
    <dgm:cxn modelId="{77DE8EBF-DC42-4282-9A13-DA6714DC3DF4}" type="presParOf" srcId="{C7DC82B0-774A-49D7-B4FD-A5A42811A12D}" destId="{AF37C06D-E4C1-417D-8E37-8D67F5408805}" srcOrd="2" destOrd="0" presId="urn:microsoft.com/office/officeart/2005/8/layout/hierarchy1"/>
    <dgm:cxn modelId="{4D6E7FA2-17FB-4F04-95C3-72E441D44A9E}" type="presParOf" srcId="{C7DC82B0-774A-49D7-B4FD-A5A42811A12D}" destId="{24FD0634-E8BB-45D3-8FFE-8685673F43F0}" srcOrd="3" destOrd="0" presId="urn:microsoft.com/office/officeart/2005/8/layout/hierarchy1"/>
    <dgm:cxn modelId="{EE746CC8-9135-4271-A4B9-7CE35F134594}" type="presParOf" srcId="{24FD0634-E8BB-45D3-8FFE-8685673F43F0}" destId="{9C86E1B6-8119-4EFD-93FD-2DEE233223CE}" srcOrd="0" destOrd="0" presId="urn:microsoft.com/office/officeart/2005/8/layout/hierarchy1"/>
    <dgm:cxn modelId="{35FA3D2A-3122-4D32-B9B3-1C04B206DCE6}" type="presParOf" srcId="{9C86E1B6-8119-4EFD-93FD-2DEE233223CE}" destId="{82631BE3-4673-4281-ABA2-FF15D09B6B97}" srcOrd="0" destOrd="0" presId="urn:microsoft.com/office/officeart/2005/8/layout/hierarchy1"/>
    <dgm:cxn modelId="{EAE2F77D-7768-469A-9AF6-CCE421045ADD}" type="presParOf" srcId="{9C86E1B6-8119-4EFD-93FD-2DEE233223CE}" destId="{6FD78255-B1AE-42EC-8225-9FCF13E8E693}" srcOrd="1" destOrd="0" presId="urn:microsoft.com/office/officeart/2005/8/layout/hierarchy1"/>
    <dgm:cxn modelId="{E3DF6F25-01D5-4486-8AE0-000496301DDF}" type="presParOf" srcId="{24FD0634-E8BB-45D3-8FFE-8685673F43F0}" destId="{67507108-9A3E-4575-936C-B168B75231E9}" srcOrd="1" destOrd="0" presId="urn:microsoft.com/office/officeart/2005/8/layout/hierarchy1"/>
    <dgm:cxn modelId="{1FB76E4C-CD1E-4B76-A771-D79934944076}" type="presParOf" srcId="{3CDC227D-6E57-4D28-806D-9E2CDC312EB8}" destId="{4B104940-8783-4F8C-B798-B1CC38D78BED}" srcOrd="2" destOrd="0" presId="urn:microsoft.com/office/officeart/2005/8/layout/hierarchy1"/>
    <dgm:cxn modelId="{208002AC-4B6F-42BA-86FC-A50F36B6210E}" type="presParOf" srcId="{3CDC227D-6E57-4D28-806D-9E2CDC312EB8}" destId="{34865F68-116C-4464-9A25-8C2A66A71F1D}" srcOrd="3" destOrd="0" presId="urn:microsoft.com/office/officeart/2005/8/layout/hierarchy1"/>
    <dgm:cxn modelId="{1DDBA2D5-42D5-43F4-A408-05F45B883E7E}" type="presParOf" srcId="{34865F68-116C-4464-9A25-8C2A66A71F1D}" destId="{12A6FC5B-C8B5-46EB-9B7F-4E753B5EF2C7}" srcOrd="0" destOrd="0" presId="urn:microsoft.com/office/officeart/2005/8/layout/hierarchy1"/>
    <dgm:cxn modelId="{53D4C92F-8EE4-44D8-AB29-CF0708C0FCA7}" type="presParOf" srcId="{12A6FC5B-C8B5-46EB-9B7F-4E753B5EF2C7}" destId="{1FD692F0-5746-4233-BD10-F0CDEE96A6AD}" srcOrd="0" destOrd="0" presId="urn:microsoft.com/office/officeart/2005/8/layout/hierarchy1"/>
    <dgm:cxn modelId="{8A824C65-DC6A-4006-A1E9-BC1633336030}" type="presParOf" srcId="{12A6FC5B-C8B5-46EB-9B7F-4E753B5EF2C7}" destId="{BF417B9B-7F10-4765-AB3C-AAEFFBF39389}" srcOrd="1" destOrd="0" presId="urn:microsoft.com/office/officeart/2005/8/layout/hierarchy1"/>
    <dgm:cxn modelId="{767129C9-A28F-4216-BEF6-E2131AEB28EF}" type="presParOf" srcId="{34865F68-116C-4464-9A25-8C2A66A71F1D}" destId="{4025B70F-A7CE-4169-860A-C878C8C20F57}"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F6A62-15BD-4185-8441-B0E3E3203D5B}">
      <dsp:nvSpPr>
        <dsp:cNvPr id="0" name=""/>
        <dsp:cNvSpPr/>
      </dsp:nvSpPr>
      <dsp:spPr>
        <a:xfrm>
          <a:off x="2276256" y="1251796"/>
          <a:ext cx="834829" cy="8348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a-DK" sz="1200" kern="1200" dirty="0" smtClean="0"/>
            <a:t>BR:</a:t>
          </a:r>
        </a:p>
        <a:p>
          <a:pPr lvl="0" algn="ctr" defTabSz="533400">
            <a:lnSpc>
              <a:spcPct val="90000"/>
            </a:lnSpc>
            <a:spcBef>
              <a:spcPct val="0"/>
            </a:spcBef>
            <a:spcAft>
              <a:spcPct val="35000"/>
            </a:spcAft>
          </a:pPr>
          <a:r>
            <a:rPr lang="da-DK" sz="1200" kern="1200" dirty="0" smtClean="0"/>
            <a:t>ID No.</a:t>
          </a:r>
        </a:p>
        <a:p>
          <a:pPr lvl="0" algn="ctr" defTabSz="533400">
            <a:lnSpc>
              <a:spcPct val="90000"/>
            </a:lnSpc>
            <a:spcBef>
              <a:spcPct val="0"/>
            </a:spcBef>
            <a:spcAft>
              <a:spcPct val="35000"/>
            </a:spcAft>
          </a:pPr>
          <a:r>
            <a:rPr lang="da-DK" sz="1200" kern="1200" dirty="0" smtClean="0"/>
            <a:t>Activity </a:t>
          </a:r>
          <a:r>
            <a:rPr lang="da-DK" sz="1200" kern="1200" dirty="0" err="1" smtClean="0"/>
            <a:t>code</a:t>
          </a:r>
          <a:endParaRPr lang="en-GB" sz="1200" kern="1200" dirty="0"/>
        </a:p>
      </dsp:txBody>
      <dsp:txXfrm>
        <a:off x="2398514" y="1374054"/>
        <a:ext cx="590313" cy="590313"/>
      </dsp:txXfrm>
    </dsp:sp>
    <dsp:sp modelId="{20373652-B5F4-4896-B40F-657BEEEE4F9F}">
      <dsp:nvSpPr>
        <dsp:cNvPr id="0" name=""/>
        <dsp:cNvSpPr/>
      </dsp:nvSpPr>
      <dsp:spPr>
        <a:xfrm rot="16200000">
          <a:off x="2611726" y="1154373"/>
          <a:ext cx="163888" cy="30957"/>
        </a:xfrm>
        <a:custGeom>
          <a:avLst/>
          <a:gdLst/>
          <a:ahLst/>
          <a:cxnLst/>
          <a:rect l="0" t="0" r="0" b="0"/>
          <a:pathLst>
            <a:path>
              <a:moveTo>
                <a:pt x="0" y="15478"/>
              </a:moveTo>
              <a:lnTo>
                <a:pt x="163888" y="154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89573" y="1165755"/>
        <a:ext cx="8194" cy="8194"/>
      </dsp:txXfrm>
    </dsp:sp>
    <dsp:sp modelId="{B67103B2-3AFF-40D8-8C4F-A1A0932EACD2}">
      <dsp:nvSpPr>
        <dsp:cNvPr id="0" name=""/>
        <dsp:cNvSpPr/>
      </dsp:nvSpPr>
      <dsp:spPr>
        <a:xfrm>
          <a:off x="1912916" y="-141363"/>
          <a:ext cx="1561508" cy="12292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noProof="0" dirty="0" smtClean="0"/>
            <a:t>OFATS:</a:t>
          </a:r>
        </a:p>
        <a:p>
          <a:pPr lvl="0" algn="ctr" defTabSz="533400">
            <a:lnSpc>
              <a:spcPct val="90000"/>
            </a:lnSpc>
            <a:spcBef>
              <a:spcPct val="0"/>
            </a:spcBef>
            <a:spcAft>
              <a:spcPct val="35000"/>
            </a:spcAft>
          </a:pPr>
          <a:r>
            <a:rPr lang="en-GB" sz="1200" kern="1200" noProof="0" dirty="0" smtClean="0"/>
            <a:t>Foreign affiliates</a:t>
          </a:r>
          <a:endParaRPr lang="en-GB" sz="1200" kern="1200" dirty="0"/>
        </a:p>
      </dsp:txBody>
      <dsp:txXfrm>
        <a:off x="2141594" y="38660"/>
        <a:ext cx="1104152" cy="869226"/>
      </dsp:txXfrm>
    </dsp:sp>
    <dsp:sp modelId="{DB89A67E-504F-4122-B00E-E4C10110C9EE}">
      <dsp:nvSpPr>
        <dsp:cNvPr id="0" name=""/>
        <dsp:cNvSpPr/>
      </dsp:nvSpPr>
      <dsp:spPr>
        <a:xfrm rot="20009160">
          <a:off x="3033920" y="1326203"/>
          <a:ext cx="632539" cy="30957"/>
        </a:xfrm>
        <a:custGeom>
          <a:avLst/>
          <a:gdLst/>
          <a:ahLst/>
          <a:cxnLst/>
          <a:rect l="0" t="0" r="0" b="0"/>
          <a:pathLst>
            <a:path>
              <a:moveTo>
                <a:pt x="0" y="15478"/>
              </a:moveTo>
              <a:lnTo>
                <a:pt x="632539" y="154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34377" y="1325868"/>
        <a:ext cx="31626" cy="31626"/>
      </dsp:txXfrm>
    </dsp:sp>
    <dsp:sp modelId="{686ACE8C-C822-47A1-BD89-C22509BD29E7}">
      <dsp:nvSpPr>
        <dsp:cNvPr id="0" name=""/>
        <dsp:cNvSpPr/>
      </dsp:nvSpPr>
      <dsp:spPr>
        <a:xfrm>
          <a:off x="3511923" y="256851"/>
          <a:ext cx="1561508" cy="12292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noProof="0" dirty="0" smtClean="0"/>
            <a:t>IFATS</a:t>
          </a:r>
        </a:p>
        <a:p>
          <a:pPr lvl="0" algn="ctr" defTabSz="533400">
            <a:lnSpc>
              <a:spcPct val="90000"/>
            </a:lnSpc>
            <a:spcBef>
              <a:spcPct val="0"/>
            </a:spcBef>
            <a:spcAft>
              <a:spcPct val="35000"/>
            </a:spcAft>
          </a:pPr>
          <a:r>
            <a:rPr lang="en-GB" sz="1200" kern="1200" noProof="0" dirty="0" smtClean="0"/>
            <a:t>Nationality of ownership</a:t>
          </a:r>
        </a:p>
      </dsp:txBody>
      <dsp:txXfrm>
        <a:off x="3740601" y="436874"/>
        <a:ext cx="1104152" cy="869226"/>
      </dsp:txXfrm>
    </dsp:sp>
    <dsp:sp modelId="{79B1A0F2-AD22-4282-A054-1E3CE7285C2C}">
      <dsp:nvSpPr>
        <dsp:cNvPr id="0" name=""/>
        <dsp:cNvSpPr/>
      </dsp:nvSpPr>
      <dsp:spPr>
        <a:xfrm rot="1276488">
          <a:off x="3060754" y="1921705"/>
          <a:ext cx="642251" cy="30957"/>
        </a:xfrm>
        <a:custGeom>
          <a:avLst/>
          <a:gdLst/>
          <a:ahLst/>
          <a:cxnLst/>
          <a:rect l="0" t="0" r="0" b="0"/>
          <a:pathLst>
            <a:path>
              <a:moveTo>
                <a:pt x="0" y="15478"/>
              </a:moveTo>
              <a:lnTo>
                <a:pt x="642251" y="154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65824" y="1921127"/>
        <a:ext cx="32112" cy="32112"/>
      </dsp:txXfrm>
    </dsp:sp>
    <dsp:sp modelId="{37578FFA-4A3F-47C9-9AA6-28FADD449BAA}">
      <dsp:nvSpPr>
        <dsp:cNvPr id="0" name=""/>
        <dsp:cNvSpPr/>
      </dsp:nvSpPr>
      <dsp:spPr>
        <a:xfrm>
          <a:off x="3600196" y="1711562"/>
          <a:ext cx="1561508" cy="12292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noProof="0" dirty="0" smtClean="0"/>
            <a:t>SBS:</a:t>
          </a:r>
          <a:br>
            <a:rPr lang="en-US" sz="1200" kern="1200" noProof="0" dirty="0" smtClean="0"/>
          </a:br>
          <a:r>
            <a:rPr lang="en-US" sz="1200" kern="1200" noProof="0" dirty="0" smtClean="0"/>
            <a:t>Turnover</a:t>
          </a:r>
        </a:p>
        <a:p>
          <a:pPr lvl="0" algn="ctr" defTabSz="533400">
            <a:lnSpc>
              <a:spcPct val="90000"/>
            </a:lnSpc>
            <a:spcBef>
              <a:spcPct val="0"/>
            </a:spcBef>
            <a:spcAft>
              <a:spcPct val="35000"/>
            </a:spcAft>
          </a:pPr>
          <a:r>
            <a:rPr lang="en-US" sz="1200" kern="1200" noProof="0" dirty="0" smtClean="0"/>
            <a:t>Gross Value Added</a:t>
          </a:r>
        </a:p>
        <a:p>
          <a:pPr lvl="0" algn="ctr" defTabSz="533400">
            <a:lnSpc>
              <a:spcPct val="90000"/>
            </a:lnSpc>
            <a:spcBef>
              <a:spcPct val="0"/>
            </a:spcBef>
            <a:spcAft>
              <a:spcPct val="35000"/>
            </a:spcAft>
          </a:pPr>
          <a:r>
            <a:rPr lang="en-US" sz="1200" kern="1200" noProof="0" dirty="0" smtClean="0"/>
            <a:t>Full-time employees</a:t>
          </a:r>
          <a:endParaRPr lang="en-US" sz="1200" kern="1200" noProof="0" dirty="0"/>
        </a:p>
      </dsp:txBody>
      <dsp:txXfrm>
        <a:off x="3828874" y="1891585"/>
        <a:ext cx="1104152" cy="869226"/>
      </dsp:txXfrm>
    </dsp:sp>
    <dsp:sp modelId="{CD2C97D5-1DD9-4861-B564-F217E721CDEC}">
      <dsp:nvSpPr>
        <dsp:cNvPr id="0" name=""/>
        <dsp:cNvSpPr/>
      </dsp:nvSpPr>
      <dsp:spPr>
        <a:xfrm rot="5400000">
          <a:off x="2611726" y="2153091"/>
          <a:ext cx="163888" cy="30957"/>
        </a:xfrm>
        <a:custGeom>
          <a:avLst/>
          <a:gdLst/>
          <a:ahLst/>
          <a:cxnLst/>
          <a:rect l="0" t="0" r="0" b="0"/>
          <a:pathLst>
            <a:path>
              <a:moveTo>
                <a:pt x="0" y="15478"/>
              </a:moveTo>
              <a:lnTo>
                <a:pt x="163888" y="154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89573" y="2164472"/>
        <a:ext cx="8194" cy="8194"/>
      </dsp:txXfrm>
    </dsp:sp>
    <dsp:sp modelId="{CE061737-00BE-4BF6-BD1C-8B784F504111}">
      <dsp:nvSpPr>
        <dsp:cNvPr id="0" name=""/>
        <dsp:cNvSpPr/>
      </dsp:nvSpPr>
      <dsp:spPr>
        <a:xfrm>
          <a:off x="1912916" y="2250513"/>
          <a:ext cx="1561508" cy="122927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noProof="0" dirty="0" smtClean="0"/>
            <a:t>BD:</a:t>
          </a:r>
        </a:p>
        <a:p>
          <a:pPr lvl="0" algn="ctr" defTabSz="533400">
            <a:lnSpc>
              <a:spcPct val="90000"/>
            </a:lnSpc>
            <a:spcBef>
              <a:spcPct val="0"/>
            </a:spcBef>
            <a:spcAft>
              <a:spcPct val="35000"/>
            </a:spcAft>
          </a:pPr>
          <a:r>
            <a:rPr lang="en-US" sz="1200" kern="1200" noProof="0" dirty="0" smtClean="0"/>
            <a:t>Year of creation</a:t>
          </a:r>
        </a:p>
        <a:p>
          <a:pPr lvl="0" algn="ctr" defTabSz="533400">
            <a:lnSpc>
              <a:spcPct val="90000"/>
            </a:lnSpc>
            <a:spcBef>
              <a:spcPct val="0"/>
            </a:spcBef>
            <a:spcAft>
              <a:spcPct val="35000"/>
            </a:spcAft>
          </a:pPr>
          <a:r>
            <a:rPr lang="en-US" sz="1200" kern="1200" noProof="0" dirty="0" smtClean="0"/>
            <a:t>Survival</a:t>
          </a:r>
          <a:endParaRPr lang="en-US" sz="1200" kern="1200" noProof="0" dirty="0"/>
        </a:p>
      </dsp:txBody>
      <dsp:txXfrm>
        <a:off x="2141594" y="2430536"/>
        <a:ext cx="1104152" cy="869226"/>
      </dsp:txXfrm>
    </dsp:sp>
    <dsp:sp modelId="{9387BB61-34F0-447A-99BA-9CD4D8F2A0BA}">
      <dsp:nvSpPr>
        <dsp:cNvPr id="0" name=""/>
        <dsp:cNvSpPr/>
      </dsp:nvSpPr>
      <dsp:spPr>
        <a:xfrm rot="9601866">
          <a:off x="1833347" y="1878674"/>
          <a:ext cx="482508" cy="30957"/>
        </a:xfrm>
        <a:custGeom>
          <a:avLst/>
          <a:gdLst/>
          <a:ahLst/>
          <a:cxnLst/>
          <a:rect l="0" t="0" r="0" b="0"/>
          <a:pathLst>
            <a:path>
              <a:moveTo>
                <a:pt x="0" y="15478"/>
              </a:moveTo>
              <a:lnTo>
                <a:pt x="482508" y="154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62539" y="1882090"/>
        <a:ext cx="24125" cy="24125"/>
      </dsp:txXfrm>
    </dsp:sp>
    <dsp:sp modelId="{DE22E03B-B54B-41CF-ACD6-8EB09CEB4DC8}">
      <dsp:nvSpPr>
        <dsp:cNvPr id="0" name=""/>
        <dsp:cNvSpPr/>
      </dsp:nvSpPr>
      <dsp:spPr>
        <a:xfrm>
          <a:off x="266882" y="1597594"/>
          <a:ext cx="1657242" cy="1304638"/>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noProof="0" dirty="0" smtClean="0"/>
            <a:t>ITS:</a:t>
          </a:r>
        </a:p>
        <a:p>
          <a:pPr lvl="0" algn="ctr" defTabSz="533400">
            <a:lnSpc>
              <a:spcPct val="90000"/>
            </a:lnSpc>
            <a:spcBef>
              <a:spcPct val="0"/>
            </a:spcBef>
            <a:spcAft>
              <a:spcPct val="35000"/>
            </a:spcAft>
          </a:pPr>
          <a:r>
            <a:rPr lang="en-US" sz="1200" kern="1200" noProof="0" dirty="0" smtClean="0"/>
            <a:t>Type of services</a:t>
          </a:r>
        </a:p>
        <a:p>
          <a:pPr lvl="0" algn="ctr" defTabSz="533400">
            <a:lnSpc>
              <a:spcPct val="90000"/>
            </a:lnSpc>
            <a:spcBef>
              <a:spcPct val="0"/>
            </a:spcBef>
            <a:spcAft>
              <a:spcPct val="35000"/>
            </a:spcAft>
          </a:pPr>
          <a:r>
            <a:rPr lang="en-US" sz="1200" kern="1200" noProof="0" dirty="0" smtClean="0"/>
            <a:t>Value</a:t>
          </a:r>
        </a:p>
        <a:p>
          <a:pPr lvl="0" algn="ctr" defTabSz="533400">
            <a:lnSpc>
              <a:spcPct val="90000"/>
            </a:lnSpc>
            <a:spcBef>
              <a:spcPct val="0"/>
            </a:spcBef>
            <a:spcAft>
              <a:spcPct val="35000"/>
            </a:spcAft>
          </a:pPr>
          <a:r>
            <a:rPr lang="en-US" sz="1200" kern="1200" noProof="0" dirty="0" smtClean="0"/>
            <a:t>Markets</a:t>
          </a:r>
          <a:endParaRPr lang="en-US" sz="1200" kern="1200" noProof="0" dirty="0"/>
        </a:p>
      </dsp:txBody>
      <dsp:txXfrm>
        <a:off x="509579" y="1788654"/>
        <a:ext cx="1171848" cy="922518"/>
      </dsp:txXfrm>
    </dsp:sp>
    <dsp:sp modelId="{0C403593-62D7-4028-8951-2094825D7B03}">
      <dsp:nvSpPr>
        <dsp:cNvPr id="0" name=""/>
        <dsp:cNvSpPr/>
      </dsp:nvSpPr>
      <dsp:spPr>
        <a:xfrm rot="12284694">
          <a:off x="1722781" y="1349193"/>
          <a:ext cx="620278" cy="30957"/>
        </a:xfrm>
        <a:custGeom>
          <a:avLst/>
          <a:gdLst/>
          <a:ahLst/>
          <a:cxnLst/>
          <a:rect l="0" t="0" r="0" b="0"/>
          <a:pathLst>
            <a:path>
              <a:moveTo>
                <a:pt x="0" y="15478"/>
              </a:moveTo>
              <a:lnTo>
                <a:pt x="620278" y="154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17413" y="1349165"/>
        <a:ext cx="31013" cy="31013"/>
      </dsp:txXfrm>
    </dsp:sp>
    <dsp:sp modelId="{7D2BEDD8-C5E3-486C-8024-73D986EA46AF}">
      <dsp:nvSpPr>
        <dsp:cNvPr id="0" name=""/>
        <dsp:cNvSpPr/>
      </dsp:nvSpPr>
      <dsp:spPr>
        <a:xfrm>
          <a:off x="308463" y="314587"/>
          <a:ext cx="1548110" cy="122409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noProof="0" dirty="0" smtClean="0"/>
            <a:t>ITG:</a:t>
          </a:r>
        </a:p>
        <a:p>
          <a:pPr lvl="0" algn="ctr" defTabSz="533400">
            <a:lnSpc>
              <a:spcPct val="90000"/>
            </a:lnSpc>
            <a:spcBef>
              <a:spcPct val="0"/>
            </a:spcBef>
            <a:spcAft>
              <a:spcPct val="35000"/>
            </a:spcAft>
          </a:pPr>
          <a:r>
            <a:rPr lang="en-US" sz="1200" kern="1200" noProof="0" dirty="0" smtClean="0"/>
            <a:t>Type of goods</a:t>
          </a:r>
        </a:p>
        <a:p>
          <a:pPr lvl="0" algn="ctr" defTabSz="533400">
            <a:lnSpc>
              <a:spcPct val="90000"/>
            </a:lnSpc>
            <a:spcBef>
              <a:spcPct val="0"/>
            </a:spcBef>
            <a:spcAft>
              <a:spcPct val="35000"/>
            </a:spcAft>
          </a:pPr>
          <a:r>
            <a:rPr lang="en-US" sz="1200" kern="1200" noProof="0" dirty="0" smtClean="0"/>
            <a:t>Value</a:t>
          </a:r>
        </a:p>
        <a:p>
          <a:pPr lvl="0" algn="ctr" defTabSz="533400">
            <a:lnSpc>
              <a:spcPct val="90000"/>
            </a:lnSpc>
            <a:spcBef>
              <a:spcPct val="0"/>
            </a:spcBef>
            <a:spcAft>
              <a:spcPct val="35000"/>
            </a:spcAft>
          </a:pPr>
          <a:r>
            <a:rPr lang="en-US" sz="1200" kern="1200" noProof="0" dirty="0" smtClean="0"/>
            <a:t>Markets</a:t>
          </a:r>
        </a:p>
      </dsp:txBody>
      <dsp:txXfrm>
        <a:off x="535178" y="493851"/>
        <a:ext cx="1094680" cy="8655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104940-8783-4F8C-B798-B1CC38D78BED}">
      <dsp:nvSpPr>
        <dsp:cNvPr id="0" name=""/>
        <dsp:cNvSpPr/>
      </dsp:nvSpPr>
      <dsp:spPr>
        <a:xfrm>
          <a:off x="2209236" y="650146"/>
          <a:ext cx="1075658" cy="284890"/>
        </a:xfrm>
        <a:custGeom>
          <a:avLst/>
          <a:gdLst/>
          <a:ahLst/>
          <a:cxnLst/>
          <a:rect l="0" t="0" r="0" b="0"/>
          <a:pathLst>
            <a:path>
              <a:moveTo>
                <a:pt x="0" y="0"/>
              </a:moveTo>
              <a:lnTo>
                <a:pt x="0" y="190378"/>
              </a:lnTo>
              <a:lnTo>
                <a:pt x="1075658" y="190378"/>
              </a:lnTo>
              <a:lnTo>
                <a:pt x="1075658" y="284890"/>
              </a:lnTo>
            </a:path>
          </a:pathLst>
        </a:custGeom>
        <a:noFill/>
        <a:ln w="25400" cap="flat" cmpd="sng" algn="ctr">
          <a:solidFill>
            <a:srgbClr val="385988">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37C06D-E4C1-417D-8E37-8D67F5408805}">
      <dsp:nvSpPr>
        <dsp:cNvPr id="0" name=""/>
        <dsp:cNvSpPr/>
      </dsp:nvSpPr>
      <dsp:spPr>
        <a:xfrm>
          <a:off x="2209236" y="2539254"/>
          <a:ext cx="623467" cy="296714"/>
        </a:xfrm>
        <a:custGeom>
          <a:avLst/>
          <a:gdLst/>
          <a:ahLst/>
          <a:cxnLst/>
          <a:rect l="0" t="0" r="0" b="0"/>
          <a:pathLst>
            <a:path>
              <a:moveTo>
                <a:pt x="0" y="0"/>
              </a:moveTo>
              <a:lnTo>
                <a:pt x="0" y="202201"/>
              </a:lnTo>
              <a:lnTo>
                <a:pt x="623467" y="202201"/>
              </a:lnTo>
              <a:lnTo>
                <a:pt x="623467" y="296714"/>
              </a:lnTo>
            </a:path>
          </a:pathLst>
        </a:custGeom>
        <a:noFill/>
        <a:ln w="25400" cap="flat" cmpd="sng" algn="ctr">
          <a:solidFill>
            <a:srgbClr val="385988">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71AFB2-6280-4554-BA71-BED32ED6E063}">
      <dsp:nvSpPr>
        <dsp:cNvPr id="0" name=""/>
        <dsp:cNvSpPr/>
      </dsp:nvSpPr>
      <dsp:spPr>
        <a:xfrm>
          <a:off x="1585768" y="2539254"/>
          <a:ext cx="623467" cy="296714"/>
        </a:xfrm>
        <a:custGeom>
          <a:avLst/>
          <a:gdLst/>
          <a:ahLst/>
          <a:cxnLst/>
          <a:rect l="0" t="0" r="0" b="0"/>
          <a:pathLst>
            <a:path>
              <a:moveTo>
                <a:pt x="623467" y="0"/>
              </a:moveTo>
              <a:lnTo>
                <a:pt x="623467" y="202201"/>
              </a:lnTo>
              <a:lnTo>
                <a:pt x="0" y="202201"/>
              </a:lnTo>
              <a:lnTo>
                <a:pt x="0" y="296714"/>
              </a:lnTo>
            </a:path>
          </a:pathLst>
        </a:custGeom>
        <a:noFill/>
        <a:ln w="25400" cap="flat" cmpd="sng" algn="ctr">
          <a:solidFill>
            <a:srgbClr val="385988">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C603390-074C-4AED-9A67-443ADB9EE2F9}">
      <dsp:nvSpPr>
        <dsp:cNvPr id="0" name=""/>
        <dsp:cNvSpPr/>
      </dsp:nvSpPr>
      <dsp:spPr>
        <a:xfrm>
          <a:off x="1585768" y="1594700"/>
          <a:ext cx="623467" cy="296714"/>
        </a:xfrm>
        <a:custGeom>
          <a:avLst/>
          <a:gdLst/>
          <a:ahLst/>
          <a:cxnLst/>
          <a:rect l="0" t="0" r="0" b="0"/>
          <a:pathLst>
            <a:path>
              <a:moveTo>
                <a:pt x="0" y="0"/>
              </a:moveTo>
              <a:lnTo>
                <a:pt x="0" y="202201"/>
              </a:lnTo>
              <a:lnTo>
                <a:pt x="623467" y="202201"/>
              </a:lnTo>
              <a:lnTo>
                <a:pt x="623467" y="296714"/>
              </a:lnTo>
            </a:path>
          </a:pathLst>
        </a:custGeom>
        <a:noFill/>
        <a:ln w="25400" cap="flat" cmpd="sng" algn="ctr">
          <a:solidFill>
            <a:srgbClr val="385988">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2547A7-414A-4A5B-BAAE-3D3DD043005D}">
      <dsp:nvSpPr>
        <dsp:cNvPr id="0" name=""/>
        <dsp:cNvSpPr/>
      </dsp:nvSpPr>
      <dsp:spPr>
        <a:xfrm>
          <a:off x="962300" y="1594700"/>
          <a:ext cx="623467" cy="296714"/>
        </a:xfrm>
        <a:custGeom>
          <a:avLst/>
          <a:gdLst/>
          <a:ahLst/>
          <a:cxnLst/>
          <a:rect l="0" t="0" r="0" b="0"/>
          <a:pathLst>
            <a:path>
              <a:moveTo>
                <a:pt x="623467" y="0"/>
              </a:moveTo>
              <a:lnTo>
                <a:pt x="623467" y="202201"/>
              </a:lnTo>
              <a:lnTo>
                <a:pt x="0" y="202201"/>
              </a:lnTo>
              <a:lnTo>
                <a:pt x="0" y="296714"/>
              </a:lnTo>
            </a:path>
          </a:pathLst>
        </a:custGeom>
        <a:noFill/>
        <a:ln w="25400" cap="flat" cmpd="sng" algn="ctr">
          <a:solidFill>
            <a:srgbClr val="385988">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16D832-12AB-468A-9459-CF1C02DD3CA5}">
      <dsp:nvSpPr>
        <dsp:cNvPr id="0" name=""/>
        <dsp:cNvSpPr/>
      </dsp:nvSpPr>
      <dsp:spPr>
        <a:xfrm>
          <a:off x="1585768" y="650146"/>
          <a:ext cx="623467" cy="296714"/>
        </a:xfrm>
        <a:custGeom>
          <a:avLst/>
          <a:gdLst/>
          <a:ahLst/>
          <a:cxnLst/>
          <a:rect l="0" t="0" r="0" b="0"/>
          <a:pathLst>
            <a:path>
              <a:moveTo>
                <a:pt x="623467" y="0"/>
              </a:moveTo>
              <a:lnTo>
                <a:pt x="623467" y="202201"/>
              </a:lnTo>
              <a:lnTo>
                <a:pt x="0" y="202201"/>
              </a:lnTo>
              <a:lnTo>
                <a:pt x="0" y="296714"/>
              </a:lnTo>
            </a:path>
          </a:pathLst>
        </a:custGeom>
        <a:noFill/>
        <a:ln w="25400" cap="flat" cmpd="sng" algn="ctr">
          <a:solidFill>
            <a:srgbClr val="385988">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9A9FA2-288E-4CDE-9CD8-A1A02D83ADAD}">
      <dsp:nvSpPr>
        <dsp:cNvPr id="0" name=""/>
        <dsp:cNvSpPr/>
      </dsp:nvSpPr>
      <dsp:spPr>
        <a:xfrm>
          <a:off x="1699126" y="2306"/>
          <a:ext cx="1020220" cy="647839"/>
        </a:xfrm>
        <a:prstGeom prst="roundRect">
          <a:avLst>
            <a:gd name="adj" fmla="val 10000"/>
          </a:avLst>
        </a:prstGeom>
        <a:solidFill>
          <a:srgbClr val="385988">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FDC9FA-0465-42EE-A68B-6DB5830009A2}">
      <dsp:nvSpPr>
        <dsp:cNvPr id="0" name=""/>
        <dsp:cNvSpPr/>
      </dsp:nvSpPr>
      <dsp:spPr>
        <a:xfrm>
          <a:off x="1812484" y="109996"/>
          <a:ext cx="1020220" cy="647839"/>
        </a:xfrm>
        <a:prstGeom prst="roundRect">
          <a:avLst>
            <a:gd name="adj" fmla="val 10000"/>
          </a:avLst>
        </a:prstGeo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enterprises</a:t>
          </a:r>
        </a:p>
      </dsp:txBody>
      <dsp:txXfrm>
        <a:off x="1831459" y="128971"/>
        <a:ext cx="982270" cy="609889"/>
      </dsp:txXfrm>
    </dsp:sp>
    <dsp:sp modelId="{83F7094B-F6D1-42DA-B13B-9ED24621A0CE}">
      <dsp:nvSpPr>
        <dsp:cNvPr id="0" name=""/>
        <dsp:cNvSpPr/>
      </dsp:nvSpPr>
      <dsp:spPr>
        <a:xfrm>
          <a:off x="1075658" y="946860"/>
          <a:ext cx="1020220" cy="647839"/>
        </a:xfrm>
        <a:prstGeom prst="roundRect">
          <a:avLst>
            <a:gd name="adj" fmla="val 10000"/>
          </a:avLst>
        </a:prstGeom>
        <a:solidFill>
          <a:srgbClr val="385988">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058D3F-E7C7-4BA0-9154-0BD803A52978}">
      <dsp:nvSpPr>
        <dsp:cNvPr id="0" name=""/>
        <dsp:cNvSpPr/>
      </dsp:nvSpPr>
      <dsp:spPr>
        <a:xfrm>
          <a:off x="1189016" y="1054550"/>
          <a:ext cx="1020220" cy="647839"/>
        </a:xfrm>
        <a:prstGeom prst="roundRect">
          <a:avLst>
            <a:gd name="adj" fmla="val 10000"/>
          </a:avLst>
        </a:prstGeo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SMEs </a:t>
          </a:r>
          <a:b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(less than 250FTE)</a:t>
          </a:r>
        </a:p>
      </dsp:txBody>
      <dsp:txXfrm>
        <a:off x="1207991" y="1073525"/>
        <a:ext cx="982270" cy="609889"/>
      </dsp:txXfrm>
    </dsp:sp>
    <dsp:sp modelId="{50735B0B-3386-41D8-A468-9EBDC232903D}">
      <dsp:nvSpPr>
        <dsp:cNvPr id="0" name=""/>
        <dsp:cNvSpPr/>
      </dsp:nvSpPr>
      <dsp:spPr>
        <a:xfrm>
          <a:off x="452190" y="1891414"/>
          <a:ext cx="1020220" cy="647839"/>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844C5D-B1D5-4E11-8811-2A11EF801CE4}">
      <dsp:nvSpPr>
        <dsp:cNvPr id="0" name=""/>
        <dsp:cNvSpPr/>
      </dsp:nvSpPr>
      <dsp:spPr>
        <a:xfrm>
          <a:off x="565548" y="1999104"/>
          <a:ext cx="1020220" cy="647839"/>
        </a:xfrm>
        <a:prstGeom prst="roundRect">
          <a:avLst>
            <a:gd name="adj" fmla="val 10000"/>
          </a:avLst>
        </a:prstGeo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Independent SMEs</a:t>
          </a:r>
        </a:p>
      </dsp:txBody>
      <dsp:txXfrm>
        <a:off x="584523" y="2018079"/>
        <a:ext cx="982270" cy="609889"/>
      </dsp:txXfrm>
    </dsp:sp>
    <dsp:sp modelId="{F6A5A10A-E953-4F76-9ECD-CB0B9C5A1D7B}">
      <dsp:nvSpPr>
        <dsp:cNvPr id="0" name=""/>
        <dsp:cNvSpPr/>
      </dsp:nvSpPr>
      <dsp:spPr>
        <a:xfrm>
          <a:off x="1699126" y="1891414"/>
          <a:ext cx="1020220" cy="647839"/>
        </a:xfrm>
        <a:prstGeom prst="roundRect">
          <a:avLst>
            <a:gd name="adj" fmla="val 10000"/>
          </a:avLst>
        </a:prstGeom>
        <a:solidFill>
          <a:srgbClr val="385988">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2C8716-50ED-447C-8F27-DADE8614A294}">
      <dsp:nvSpPr>
        <dsp:cNvPr id="0" name=""/>
        <dsp:cNvSpPr/>
      </dsp:nvSpPr>
      <dsp:spPr>
        <a:xfrm>
          <a:off x="1812484" y="1999104"/>
          <a:ext cx="1020220" cy="647839"/>
        </a:xfrm>
        <a:prstGeom prst="roundRect">
          <a:avLst>
            <a:gd name="adj" fmla="val 10000"/>
          </a:avLst>
        </a:prstGeo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SMEs with group affiliation(s)</a:t>
          </a:r>
        </a:p>
      </dsp:txBody>
      <dsp:txXfrm>
        <a:off x="1831459" y="2018079"/>
        <a:ext cx="982270" cy="609889"/>
      </dsp:txXfrm>
    </dsp:sp>
    <dsp:sp modelId="{7739DF29-9A9A-415D-9DDC-738B2BE1EE96}">
      <dsp:nvSpPr>
        <dsp:cNvPr id="0" name=""/>
        <dsp:cNvSpPr/>
      </dsp:nvSpPr>
      <dsp:spPr>
        <a:xfrm>
          <a:off x="1075658" y="2835968"/>
          <a:ext cx="1020220" cy="647839"/>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7404B3-D221-40A2-AFAE-ED6B78FCA577}">
      <dsp:nvSpPr>
        <dsp:cNvPr id="0" name=""/>
        <dsp:cNvSpPr/>
      </dsp:nvSpPr>
      <dsp:spPr>
        <a:xfrm>
          <a:off x="1189016" y="2943658"/>
          <a:ext cx="1020220" cy="647839"/>
        </a:xfrm>
        <a:prstGeom prst="roundRect">
          <a:avLst>
            <a:gd name="adj" fmla="val 10000"/>
          </a:avLst>
        </a:prstGeo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Domestic SME group SMEs</a:t>
          </a:r>
        </a:p>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Dependent SME belonging to domestic SME group</a:t>
          </a:r>
        </a:p>
      </dsp:txBody>
      <dsp:txXfrm>
        <a:off x="1207991" y="2962633"/>
        <a:ext cx="982270" cy="609889"/>
      </dsp:txXfrm>
    </dsp:sp>
    <dsp:sp modelId="{82631BE3-4673-4281-ABA2-FF15D09B6B97}">
      <dsp:nvSpPr>
        <dsp:cNvPr id="0" name=""/>
        <dsp:cNvSpPr/>
      </dsp:nvSpPr>
      <dsp:spPr>
        <a:xfrm>
          <a:off x="2322594" y="2835968"/>
          <a:ext cx="1020220" cy="647839"/>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D78255-B1AE-42EC-8225-9FCF13E8E693}">
      <dsp:nvSpPr>
        <dsp:cNvPr id="0" name=""/>
        <dsp:cNvSpPr/>
      </dsp:nvSpPr>
      <dsp:spPr>
        <a:xfrm>
          <a:off x="2435952" y="2943658"/>
          <a:ext cx="1020220" cy="647839"/>
        </a:xfrm>
        <a:prstGeom prst="roundRect">
          <a:avLst>
            <a:gd name="adj" fmla="val 10000"/>
          </a:avLst>
        </a:prstGeo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Large group SMEs</a:t>
          </a:r>
        </a:p>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Dependent SME belonging to domestic large group</a:t>
          </a:r>
        </a:p>
      </dsp:txBody>
      <dsp:txXfrm>
        <a:off x="2454927" y="2962633"/>
        <a:ext cx="982270" cy="609889"/>
      </dsp:txXfrm>
    </dsp:sp>
    <dsp:sp modelId="{1FD692F0-5746-4233-BD10-F0CDEE96A6AD}">
      <dsp:nvSpPr>
        <dsp:cNvPr id="0" name=""/>
        <dsp:cNvSpPr/>
      </dsp:nvSpPr>
      <dsp:spPr>
        <a:xfrm>
          <a:off x="2774785" y="935037"/>
          <a:ext cx="1020220" cy="647839"/>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417B9B-7F10-4765-AB3C-AAEFFBF39389}">
      <dsp:nvSpPr>
        <dsp:cNvPr id="0" name=""/>
        <dsp:cNvSpPr/>
      </dsp:nvSpPr>
      <dsp:spPr>
        <a:xfrm>
          <a:off x="2888142" y="1042727"/>
          <a:ext cx="1020220" cy="647839"/>
        </a:xfrm>
        <a:prstGeom prst="roundRect">
          <a:avLst>
            <a:gd name="adj" fmla="val 10000"/>
          </a:avLst>
        </a:prstGeom>
        <a:solidFill>
          <a:sysClr val="window" lastClr="FFFFFF">
            <a:alpha val="90000"/>
            <a:hueOff val="0"/>
            <a:satOff val="0"/>
            <a:lumOff val="0"/>
            <a:alphaOff val="0"/>
          </a:sysClr>
        </a:solidFill>
        <a:ln w="25400" cap="flat" cmpd="sng" algn="ctr">
          <a:solidFill>
            <a:srgbClr val="385988">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Large enterprises</a:t>
          </a:r>
        </a:p>
        <a:p>
          <a:pPr lvl="0" algn="ctr" defTabSz="311150">
            <a:lnSpc>
              <a:spcPct val="90000"/>
            </a:lnSpc>
            <a:spcBef>
              <a:spcPct val="0"/>
            </a:spcBef>
            <a:spcAft>
              <a:spcPct val="35000"/>
            </a:spcAft>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Large enterprises (250+ FTE)</a:t>
          </a:r>
        </a:p>
      </dsp:txBody>
      <dsp:txXfrm>
        <a:off x="2907117" y="1061702"/>
        <a:ext cx="982270" cy="6098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0.08077</cdr:x>
      <cdr:y>0.0208</cdr:y>
    </cdr:from>
    <cdr:to>
      <cdr:x>0.14774</cdr:x>
      <cdr:y>0.06752</cdr:y>
    </cdr:to>
    <cdr:sp macro="" textlink="">
      <cdr:nvSpPr>
        <cdr:cNvPr id="2" name="Tekstboks 1"/>
        <cdr:cNvSpPr txBox="1"/>
      </cdr:nvSpPr>
      <cdr:spPr>
        <a:xfrm xmlns:a="http://schemas.openxmlformats.org/drawingml/2006/main">
          <a:off x="332372" y="56170"/>
          <a:ext cx="275568" cy="126145"/>
        </a:xfrm>
        <a:prstGeom xmlns:a="http://schemas.openxmlformats.org/drawingml/2006/main" prst="rect">
          <a:avLst/>
        </a:prstGeom>
      </cdr:spPr>
      <cdr:txBody>
        <a:bodyPr xmlns:a="http://schemas.openxmlformats.org/drawingml/2006/main" vertOverflow="clip" vert="horz" wrap="none" lIns="0" tIns="0" rIns="0" bIns="0" rtlCol="0">
          <a:spAutoFit/>
        </a:bodyPr>
        <a:lstStyle xmlns:a="http://schemas.openxmlformats.org/drawingml/2006/main"/>
        <a:p xmlns:a="http://schemas.openxmlformats.org/drawingml/2006/main">
          <a:r>
            <a:rPr lang="da-DK" sz="800">
              <a:solidFill>
                <a:srgbClr val="6F6D5C"/>
              </a:solidFill>
              <a:latin typeface="Arial Narrow"/>
            </a:rPr>
            <a:t>Per cent</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MR farver">
    <a:dk1>
      <a:sysClr val="windowText" lastClr="000000"/>
    </a:dk1>
    <a:lt1>
      <a:sysClr val="window" lastClr="FFFFFF"/>
    </a:lt1>
    <a:dk2>
      <a:srgbClr val="B2B2B2"/>
    </a:dk2>
    <a:lt2>
      <a:srgbClr val="F8F8F8"/>
    </a:lt2>
    <a:accent1>
      <a:srgbClr val="373389"/>
    </a:accent1>
    <a:accent2>
      <a:srgbClr val="FFEA55"/>
    </a:accent2>
    <a:accent3>
      <a:srgbClr val="17774E"/>
    </a:accent3>
    <a:accent4>
      <a:srgbClr val="68ACCE"/>
    </a:accent4>
    <a:accent5>
      <a:srgbClr val="FF0000"/>
    </a:accent5>
    <a:accent6>
      <a:srgbClr val="BFD5B9"/>
    </a:accent6>
    <a:hlink>
      <a:srgbClr val="373389"/>
    </a:hlink>
    <a:folHlink>
      <a:srgbClr val="68ACCE"/>
    </a:folHlink>
  </a:clrScheme>
  <a:fontScheme name="Kont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8595-08CD-450D-8392-3F1E364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4480</Words>
  <Characters>27329</Characters>
  <Application>Microsoft Office Word</Application>
  <DocSecurity>0</DocSecurity>
  <Lines>227</Lines>
  <Paragraphs>63</Paragraphs>
  <ScaleCrop>false</ScaleCrop>
  <HeadingPairs>
    <vt:vector size="10" baseType="variant">
      <vt:variant>
        <vt:lpstr>Titel</vt:lpstr>
      </vt:variant>
      <vt:variant>
        <vt:i4>1</vt:i4>
      </vt:variant>
      <vt:variant>
        <vt:lpstr>Overskrifter</vt:lpstr>
      </vt:variant>
      <vt:variant>
        <vt:i4>10</vt:i4>
      </vt:variant>
      <vt:variant>
        <vt:lpstr>Otsikko</vt:lpstr>
      </vt:variant>
      <vt:variant>
        <vt:i4>1</vt:i4>
      </vt:variant>
      <vt:variant>
        <vt:lpstr>Title</vt:lpstr>
      </vt:variant>
      <vt:variant>
        <vt:i4>1</vt:i4>
      </vt:variant>
      <vt:variant>
        <vt:lpstr>Tytuł</vt:lpstr>
      </vt:variant>
      <vt:variant>
        <vt:i4>1</vt:i4>
      </vt:variant>
    </vt:vector>
  </HeadingPairs>
  <TitlesOfParts>
    <vt:vector size="14" baseType="lpstr">
      <vt:lpstr/>
      <vt:lpstr>Establishing Harmonised Business Statistics Databases in the Nordic NSIs – chall</vt:lpstr>
      <vt:lpstr>    Introduction</vt:lpstr>
      <vt:lpstr>    Organisation, data-sources and structure</vt:lpstr>
      <vt:lpstr>    Centrally scripted, centrally corrected syntax</vt:lpstr>
      <vt:lpstr>    Statistical output </vt:lpstr>
      <vt:lpstr>        When are SMEs small or medium sized?</vt:lpstr>
      <vt:lpstr>        Importance of enterprise groups</vt:lpstr>
      <vt:lpstr>        MDL as input to macro statistics</vt:lpstr>
      <vt:lpstr>    Conclusion</vt:lpstr>
      <vt:lpstr>    References</vt:lpstr>
      <vt:lpstr/>
      <vt:lpstr/>
      <vt:lpstr/>
    </vt:vector>
  </TitlesOfParts>
  <Company/>
  <LinksUpToDate>false</LinksUpToDate>
  <CharactersWithSpaces>31746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Peter Bøegh Nielsen</cp:lastModifiedBy>
  <cp:revision>5</cp:revision>
  <cp:lastPrinted>2019-06-28T09:22:00Z</cp:lastPrinted>
  <dcterms:created xsi:type="dcterms:W3CDTF">2019-06-30T18:16:00Z</dcterms:created>
  <dcterms:modified xsi:type="dcterms:W3CDTF">2019-07-01T05:56:00Z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