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E6C5" w14:textId="4547B0A5" w:rsidR="00DF43EA" w:rsidRPr="006144E6" w:rsidRDefault="008231F9" w:rsidP="00DF43EA">
      <w:pPr>
        <w:jc w:val="center"/>
        <w:rPr>
          <w:rFonts w:cs="Arial"/>
          <w:b/>
          <w:sz w:val="48"/>
          <w:szCs w:val="48"/>
          <w:lang w:val="en-GB"/>
        </w:rPr>
      </w:pPr>
      <w:r>
        <w:rPr>
          <w:rFonts w:cs="Arial"/>
          <w:b/>
          <w:sz w:val="48"/>
          <w:szCs w:val="48"/>
          <w:lang w:val="en-GB"/>
        </w:rPr>
        <w:t xml:space="preserve">Icelandic </w:t>
      </w:r>
      <w:r w:rsidR="00E85DD3" w:rsidRPr="006144E6">
        <w:rPr>
          <w:rFonts w:cs="Arial"/>
          <w:b/>
          <w:sz w:val="48"/>
          <w:szCs w:val="48"/>
          <w:lang w:val="en-GB"/>
        </w:rPr>
        <w:t>Wage Price Index</w:t>
      </w:r>
    </w:p>
    <w:p w14:paraId="1D6EE0BF" w14:textId="77777777" w:rsidR="00DF43EA" w:rsidRPr="006144E6" w:rsidRDefault="00DF43EA" w:rsidP="00DF43EA">
      <w:pPr>
        <w:jc w:val="center"/>
        <w:rPr>
          <w:i/>
          <w:lang w:val="en-GB"/>
        </w:rPr>
      </w:pPr>
      <w:proofErr w:type="gramStart"/>
      <w:r w:rsidRPr="006144E6">
        <w:rPr>
          <w:rFonts w:cs="Arial"/>
          <w:i/>
          <w:sz w:val="48"/>
          <w:szCs w:val="48"/>
          <w:lang w:val="en-GB"/>
        </w:rPr>
        <w:t xml:space="preserve">– </w:t>
      </w:r>
      <w:r w:rsidR="00E85DD3" w:rsidRPr="006144E6">
        <w:rPr>
          <w:rFonts w:cs="Arial"/>
          <w:i/>
          <w:sz w:val="48"/>
          <w:szCs w:val="48"/>
          <w:lang w:val="en-GB"/>
        </w:rPr>
        <w:t>30 years</w:t>
      </w:r>
      <w:proofErr w:type="gramEnd"/>
      <w:r w:rsidR="00E85DD3" w:rsidRPr="006144E6">
        <w:rPr>
          <w:rFonts w:cs="Arial"/>
          <w:i/>
          <w:sz w:val="48"/>
          <w:szCs w:val="48"/>
          <w:lang w:val="en-GB"/>
        </w:rPr>
        <w:t xml:space="preserve"> of experience and questioning</w:t>
      </w:r>
    </w:p>
    <w:p w14:paraId="41B0B64F" w14:textId="77777777" w:rsidR="00D0270E" w:rsidRPr="006144E6" w:rsidRDefault="00E85DD3" w:rsidP="0093037C">
      <w:pPr>
        <w:jc w:val="left"/>
        <w:rPr>
          <w:rFonts w:cs="Arial"/>
          <w:szCs w:val="24"/>
          <w:lang w:val="en-GB"/>
        </w:rPr>
      </w:pPr>
      <w:r w:rsidRPr="006144E6">
        <w:rPr>
          <w:rFonts w:cs="Arial"/>
          <w:szCs w:val="24"/>
          <w:lang w:val="en-GB"/>
        </w:rPr>
        <w:t>Margrét Vala Gylfadóttir</w:t>
      </w:r>
      <w:r w:rsidR="000D705A" w:rsidRPr="006144E6">
        <w:rPr>
          <w:rFonts w:cs="Arial"/>
          <w:szCs w:val="24"/>
          <w:lang w:val="en-GB"/>
        </w:rPr>
        <w:t xml:space="preserve">, </w:t>
      </w:r>
      <w:r w:rsidR="0093037C">
        <w:rPr>
          <w:rFonts w:cs="Arial"/>
          <w:szCs w:val="24"/>
          <w:lang w:val="en-GB"/>
        </w:rPr>
        <w:t xml:space="preserve">leading statistician, </w:t>
      </w:r>
      <w:r w:rsidRPr="006144E6">
        <w:rPr>
          <w:rFonts w:cs="Arial"/>
          <w:szCs w:val="24"/>
          <w:lang w:val="en-GB"/>
        </w:rPr>
        <w:t>Statistics Iceland</w:t>
      </w:r>
      <w:r w:rsidR="000D705A" w:rsidRPr="006144E6">
        <w:rPr>
          <w:rFonts w:cs="Arial"/>
          <w:szCs w:val="24"/>
          <w:lang w:val="en-GB"/>
        </w:rPr>
        <w:t xml:space="preserve">, </w:t>
      </w:r>
      <w:r w:rsidRPr="006144E6">
        <w:rPr>
          <w:rStyle w:val="Hyperlink"/>
          <w:rFonts w:cs="Arial"/>
          <w:szCs w:val="24"/>
          <w:lang w:val="en-GB"/>
        </w:rPr>
        <w:t>margret.gylfadottir@statice.is</w:t>
      </w:r>
      <w:r w:rsidR="003D0235" w:rsidRPr="006144E6">
        <w:rPr>
          <w:rStyle w:val="Hyperlink"/>
          <w:lang w:val="en-GB"/>
        </w:rPr>
        <w:t xml:space="preserve"> </w:t>
      </w:r>
    </w:p>
    <w:p w14:paraId="334ED402" w14:textId="77777777" w:rsidR="006B1F86" w:rsidRPr="006144E6" w:rsidRDefault="00E85DD3" w:rsidP="006B1F86">
      <w:pPr>
        <w:rPr>
          <w:rFonts w:cs="Arial"/>
          <w:szCs w:val="24"/>
          <w:lang w:val="en-GB"/>
        </w:rPr>
      </w:pPr>
      <w:r w:rsidRPr="006144E6">
        <w:rPr>
          <w:rFonts w:cs="Arial"/>
          <w:szCs w:val="24"/>
          <w:lang w:val="en-GB"/>
        </w:rPr>
        <w:t>Violeta Calian</w:t>
      </w:r>
      <w:r w:rsidR="000D705A" w:rsidRPr="006144E6">
        <w:rPr>
          <w:rFonts w:cs="Arial"/>
          <w:szCs w:val="24"/>
          <w:lang w:val="en-GB"/>
        </w:rPr>
        <w:t>,</w:t>
      </w:r>
      <w:r w:rsidR="0093037C">
        <w:rPr>
          <w:rFonts w:cs="Arial"/>
          <w:szCs w:val="24"/>
          <w:lang w:val="en-GB"/>
        </w:rPr>
        <w:t xml:space="preserve"> chief methodologist</w:t>
      </w:r>
      <w:r w:rsidR="0093037C" w:rsidRPr="006144E6">
        <w:rPr>
          <w:rFonts w:cs="Arial"/>
          <w:szCs w:val="24"/>
          <w:lang w:val="en-GB"/>
        </w:rPr>
        <w:t>, Statistics Iceland</w:t>
      </w:r>
      <w:r w:rsidR="0093037C">
        <w:rPr>
          <w:rFonts w:cs="Arial"/>
          <w:szCs w:val="24"/>
          <w:lang w:val="en-GB"/>
        </w:rPr>
        <w:t>,</w:t>
      </w:r>
      <w:r w:rsidR="000D705A" w:rsidRPr="006144E6">
        <w:rPr>
          <w:rFonts w:cs="Arial"/>
          <w:szCs w:val="24"/>
          <w:lang w:val="en-GB"/>
        </w:rPr>
        <w:t xml:space="preserve"> </w:t>
      </w:r>
      <w:r w:rsidRPr="006144E6">
        <w:rPr>
          <w:rStyle w:val="Hyperlink"/>
          <w:rFonts w:cs="Arial"/>
          <w:szCs w:val="24"/>
          <w:lang w:val="en-GB"/>
        </w:rPr>
        <w:t>violeta.calian@statice.is</w:t>
      </w:r>
      <w:r w:rsidR="003D0235" w:rsidRPr="006144E6">
        <w:rPr>
          <w:rFonts w:cs="Arial"/>
          <w:szCs w:val="24"/>
          <w:lang w:val="en-GB"/>
        </w:rPr>
        <w:t xml:space="preserve"> </w:t>
      </w:r>
    </w:p>
    <w:p w14:paraId="72282C5C" w14:textId="77777777" w:rsidR="00E85DD3" w:rsidRPr="006144E6" w:rsidRDefault="00E85DD3" w:rsidP="0099678F">
      <w:r w:rsidRPr="0099678F">
        <w:rPr>
          <w:b/>
        </w:rPr>
        <w:t>Abstract</w:t>
      </w:r>
    </w:p>
    <w:p w14:paraId="0A3ACB3F" w14:textId="77777777" w:rsidR="00E85DD3" w:rsidRPr="006144E6" w:rsidRDefault="00AF06A3" w:rsidP="00BB1771">
      <w:pPr>
        <w:keepNext/>
        <w:rPr>
          <w:rFonts w:cs="Arial"/>
          <w:i/>
          <w:sz w:val="20"/>
          <w:szCs w:val="20"/>
          <w:lang w:val="en-GB"/>
        </w:rPr>
      </w:pPr>
      <w:r w:rsidRPr="006144E6">
        <w:rPr>
          <w:rFonts w:cs="Arial"/>
          <w:i/>
          <w:sz w:val="20"/>
          <w:szCs w:val="20"/>
          <w:lang w:val="en-GB"/>
        </w:rPr>
        <w:t>The Icelandic wage p</w:t>
      </w:r>
      <w:r w:rsidR="00E85DD3" w:rsidRPr="006144E6">
        <w:rPr>
          <w:rFonts w:cs="Arial"/>
          <w:i/>
          <w:sz w:val="20"/>
          <w:szCs w:val="20"/>
          <w:lang w:val="en-GB"/>
        </w:rPr>
        <w:t xml:space="preserve">rice index (IWPI) </w:t>
      </w:r>
      <w:r w:rsidR="0025113E" w:rsidRPr="006144E6">
        <w:rPr>
          <w:rFonts w:cs="Arial"/>
          <w:i/>
          <w:sz w:val="20"/>
          <w:szCs w:val="20"/>
          <w:lang w:val="en-GB"/>
        </w:rPr>
        <w:t>grounds</w:t>
      </w:r>
      <w:r w:rsidRPr="006144E6">
        <w:rPr>
          <w:rFonts w:cs="Arial"/>
          <w:i/>
          <w:sz w:val="20"/>
          <w:szCs w:val="20"/>
          <w:lang w:val="en-GB"/>
        </w:rPr>
        <w:t xml:space="preserve"> on the act on w</w:t>
      </w:r>
      <w:r w:rsidR="00E85DD3" w:rsidRPr="006144E6">
        <w:rPr>
          <w:rFonts w:cs="Arial"/>
          <w:i/>
          <w:sz w:val="20"/>
          <w:szCs w:val="20"/>
          <w:lang w:val="en-GB"/>
        </w:rPr>
        <w:t xml:space="preserve">age index from 1989. The intention of the legislator was to get a price measure on the monetary compensation for </w:t>
      </w:r>
      <w:r w:rsidR="008C4F9D" w:rsidRPr="006144E6">
        <w:rPr>
          <w:rFonts w:cs="Arial"/>
          <w:i/>
          <w:sz w:val="20"/>
          <w:szCs w:val="20"/>
          <w:lang w:val="en-GB"/>
        </w:rPr>
        <w:t xml:space="preserve">an </w:t>
      </w:r>
      <w:r w:rsidR="00E85DD3" w:rsidRPr="006144E6">
        <w:rPr>
          <w:rFonts w:cs="Arial"/>
          <w:i/>
          <w:sz w:val="20"/>
          <w:szCs w:val="20"/>
          <w:lang w:val="en-GB"/>
        </w:rPr>
        <w:t xml:space="preserve">hour worked. </w:t>
      </w:r>
    </w:p>
    <w:p w14:paraId="0C93F340" w14:textId="77777777" w:rsidR="00E85DD3" w:rsidRPr="006144E6" w:rsidRDefault="00E85DD3" w:rsidP="00BB1771">
      <w:pPr>
        <w:keepNext/>
        <w:rPr>
          <w:rFonts w:cs="Arial"/>
          <w:i/>
          <w:sz w:val="20"/>
          <w:szCs w:val="20"/>
          <w:lang w:val="en-GB"/>
        </w:rPr>
      </w:pPr>
      <w:r w:rsidRPr="006144E6">
        <w:rPr>
          <w:rFonts w:cs="Arial"/>
          <w:i/>
          <w:sz w:val="20"/>
          <w:szCs w:val="20"/>
          <w:lang w:val="en-GB"/>
        </w:rPr>
        <w:t>The IWPI aggregates employee wage information at the first stage by calculatin</w:t>
      </w:r>
      <w:r w:rsidR="008C4F9D" w:rsidRPr="006144E6">
        <w:rPr>
          <w:rFonts w:cs="Arial"/>
          <w:i/>
          <w:sz w:val="20"/>
          <w:szCs w:val="20"/>
          <w:lang w:val="en-GB"/>
        </w:rPr>
        <w:t xml:space="preserve">g </w:t>
      </w:r>
      <w:proofErr w:type="spellStart"/>
      <w:r w:rsidR="008C4F9D" w:rsidRPr="006144E6">
        <w:rPr>
          <w:rFonts w:cs="Arial"/>
          <w:i/>
          <w:sz w:val="20"/>
          <w:szCs w:val="20"/>
          <w:lang w:val="en-GB"/>
        </w:rPr>
        <w:t>Törnqvist</w:t>
      </w:r>
      <w:proofErr w:type="spellEnd"/>
      <w:r w:rsidR="008C4F9D" w:rsidRPr="006144E6">
        <w:rPr>
          <w:rFonts w:cs="Arial"/>
          <w:i/>
          <w:sz w:val="20"/>
          <w:szCs w:val="20"/>
          <w:lang w:val="en-GB"/>
        </w:rPr>
        <w:t xml:space="preserve"> month-to-month indic</w:t>
      </w:r>
      <w:r w:rsidRPr="006144E6">
        <w:rPr>
          <w:rFonts w:cs="Arial"/>
          <w:i/>
          <w:sz w:val="20"/>
          <w:szCs w:val="20"/>
          <w:lang w:val="en-GB"/>
        </w:rPr>
        <w:t>es</w:t>
      </w:r>
      <w:r w:rsidR="008A44A9">
        <w:rPr>
          <w:rFonts w:cs="Arial"/>
          <w:i/>
          <w:sz w:val="20"/>
          <w:szCs w:val="20"/>
          <w:lang w:val="en-GB"/>
        </w:rPr>
        <w:t xml:space="preserve"> of occupation and economic activity</w:t>
      </w:r>
      <w:r w:rsidRPr="006144E6">
        <w:rPr>
          <w:rFonts w:cs="Arial"/>
          <w:i/>
          <w:sz w:val="20"/>
          <w:szCs w:val="20"/>
          <w:lang w:val="en-GB"/>
        </w:rPr>
        <w:t xml:space="preserve"> “cells”. </w:t>
      </w:r>
      <w:r w:rsidR="008C4F9D" w:rsidRPr="006144E6">
        <w:rPr>
          <w:rFonts w:cs="Arial"/>
          <w:i/>
          <w:sz w:val="20"/>
          <w:szCs w:val="20"/>
          <w:lang w:val="en-GB"/>
        </w:rPr>
        <w:t>These cell indic</w:t>
      </w:r>
      <w:r w:rsidRPr="006144E6">
        <w:rPr>
          <w:rFonts w:cs="Arial"/>
          <w:i/>
          <w:sz w:val="20"/>
          <w:szCs w:val="20"/>
          <w:lang w:val="en-GB"/>
        </w:rPr>
        <w:t xml:space="preserve">es </w:t>
      </w:r>
      <w:r w:rsidR="0025113E" w:rsidRPr="006144E6">
        <w:rPr>
          <w:rFonts w:cs="Arial"/>
          <w:i/>
          <w:sz w:val="20"/>
          <w:szCs w:val="20"/>
          <w:lang w:val="en-GB"/>
        </w:rPr>
        <w:t>aggregates</w:t>
      </w:r>
      <w:r w:rsidRPr="006144E6">
        <w:rPr>
          <w:rFonts w:cs="Arial"/>
          <w:i/>
          <w:sz w:val="20"/>
          <w:szCs w:val="20"/>
          <w:lang w:val="en-GB"/>
        </w:rPr>
        <w:t xml:space="preserve"> into </w:t>
      </w:r>
      <w:r w:rsidR="008C4F9D" w:rsidRPr="006144E6">
        <w:rPr>
          <w:rFonts w:cs="Arial"/>
          <w:i/>
          <w:sz w:val="20"/>
          <w:szCs w:val="20"/>
          <w:lang w:val="en-GB"/>
        </w:rPr>
        <w:t>higher-level</w:t>
      </w:r>
      <w:r w:rsidRPr="006144E6">
        <w:rPr>
          <w:rFonts w:cs="Arial"/>
          <w:i/>
          <w:sz w:val="20"/>
          <w:szCs w:val="20"/>
          <w:lang w:val="en-GB"/>
        </w:rPr>
        <w:t xml:space="preserve"> numbers </w:t>
      </w:r>
      <w:r w:rsidR="008A44A9">
        <w:rPr>
          <w:rFonts w:cs="Arial"/>
          <w:i/>
          <w:sz w:val="20"/>
          <w:szCs w:val="20"/>
          <w:lang w:val="en-GB"/>
        </w:rPr>
        <w:t xml:space="preserve">for economic sectors </w:t>
      </w:r>
      <w:r w:rsidRPr="006144E6">
        <w:rPr>
          <w:rFonts w:cs="Arial"/>
          <w:i/>
          <w:sz w:val="20"/>
          <w:szCs w:val="20"/>
          <w:lang w:val="en-GB"/>
        </w:rPr>
        <w:t xml:space="preserve">by using a </w:t>
      </w:r>
      <w:proofErr w:type="spellStart"/>
      <w:r w:rsidRPr="006144E6">
        <w:rPr>
          <w:rFonts w:cs="Arial"/>
          <w:i/>
          <w:sz w:val="20"/>
          <w:szCs w:val="20"/>
          <w:lang w:val="en-GB"/>
        </w:rPr>
        <w:t>Laspeyres</w:t>
      </w:r>
      <w:proofErr w:type="spellEnd"/>
      <w:r w:rsidRPr="006144E6">
        <w:rPr>
          <w:rFonts w:cs="Arial"/>
          <w:i/>
          <w:sz w:val="20"/>
          <w:szCs w:val="20"/>
          <w:lang w:val="en-GB"/>
        </w:rPr>
        <w:t xml:space="preserve"> type formula and then chained over time. </w:t>
      </w:r>
    </w:p>
    <w:p w14:paraId="22E79D0B" w14:textId="77777777" w:rsidR="00E85DD3" w:rsidRPr="006144E6" w:rsidRDefault="00E85DD3" w:rsidP="00BB1771">
      <w:pPr>
        <w:keepNext/>
        <w:rPr>
          <w:rFonts w:cs="Arial"/>
          <w:i/>
          <w:sz w:val="20"/>
          <w:szCs w:val="20"/>
          <w:lang w:val="en-GB"/>
        </w:rPr>
      </w:pPr>
      <w:r w:rsidRPr="006144E6">
        <w:rPr>
          <w:rFonts w:cs="Arial"/>
          <w:i/>
          <w:sz w:val="20"/>
          <w:szCs w:val="20"/>
          <w:lang w:val="en-GB"/>
        </w:rPr>
        <w:t>The index has become widely used in the Icelandic economy as the main indicator of changes in wages and wage growth, especially in collective negotiations by the social partners, who consequently started to question the soundness of the methodology of the index.</w:t>
      </w:r>
    </w:p>
    <w:p w14:paraId="2A806AB7" w14:textId="77777777" w:rsidR="00E85DD3" w:rsidRPr="006144E6" w:rsidRDefault="008C4F9D" w:rsidP="00BB1771">
      <w:pPr>
        <w:keepNext/>
        <w:rPr>
          <w:rFonts w:cs="Arial"/>
          <w:i/>
          <w:sz w:val="20"/>
          <w:szCs w:val="20"/>
          <w:lang w:val="en-GB"/>
        </w:rPr>
      </w:pPr>
      <w:r w:rsidRPr="006144E6">
        <w:rPr>
          <w:rFonts w:cs="Arial"/>
          <w:i/>
          <w:sz w:val="20"/>
          <w:szCs w:val="20"/>
          <w:lang w:val="en-GB"/>
        </w:rPr>
        <w:t xml:space="preserve">External and internal methodologist made comprehensive review of the IWPI in 2018 and 2019. The review highlighted among other the issues </w:t>
      </w:r>
      <w:proofErr w:type="gramStart"/>
      <w:r w:rsidRPr="006144E6">
        <w:rPr>
          <w:rFonts w:cs="Arial"/>
          <w:i/>
          <w:sz w:val="20"/>
          <w:szCs w:val="20"/>
          <w:lang w:val="en-GB"/>
        </w:rPr>
        <w:t>of</w:t>
      </w:r>
      <w:proofErr w:type="gramEnd"/>
      <w:r w:rsidRPr="006144E6">
        <w:rPr>
          <w:rFonts w:cs="Arial"/>
          <w:i/>
          <w:sz w:val="20"/>
          <w:szCs w:val="20"/>
          <w:lang w:val="en-GB"/>
        </w:rPr>
        <w:t>:</w:t>
      </w:r>
      <w:r w:rsidR="00E85DD3" w:rsidRPr="006144E6">
        <w:rPr>
          <w:rFonts w:cs="Arial"/>
          <w:i/>
          <w:sz w:val="20"/>
          <w:szCs w:val="20"/>
          <w:lang w:val="en-GB"/>
        </w:rPr>
        <w:t xml:space="preserve"> </w:t>
      </w:r>
    </w:p>
    <w:p w14:paraId="1B8ABF68" w14:textId="77777777" w:rsidR="006F0336" w:rsidRPr="006144E6" w:rsidRDefault="006F0336" w:rsidP="00605C75">
      <w:pPr>
        <w:pStyle w:val="ListParagraph"/>
        <w:keepNext/>
        <w:numPr>
          <w:ilvl w:val="0"/>
          <w:numId w:val="1"/>
        </w:numPr>
        <w:rPr>
          <w:rFonts w:cs="Arial"/>
          <w:i/>
          <w:sz w:val="20"/>
          <w:szCs w:val="20"/>
          <w:lang w:val="en-GB"/>
        </w:rPr>
      </w:pPr>
      <w:r w:rsidRPr="006144E6">
        <w:rPr>
          <w:rFonts w:cs="Arial"/>
          <w:i/>
          <w:sz w:val="20"/>
          <w:szCs w:val="20"/>
          <w:lang w:val="en-GB"/>
        </w:rPr>
        <w:t>method</w:t>
      </w:r>
    </w:p>
    <w:p w14:paraId="34DDB2DA" w14:textId="77777777" w:rsidR="00E85DD3" w:rsidRPr="006144E6" w:rsidRDefault="0025113E" w:rsidP="00605C75">
      <w:pPr>
        <w:pStyle w:val="ListParagraph"/>
        <w:keepNext/>
        <w:numPr>
          <w:ilvl w:val="0"/>
          <w:numId w:val="1"/>
        </w:numPr>
        <w:rPr>
          <w:rFonts w:cs="Arial"/>
          <w:i/>
          <w:sz w:val="20"/>
          <w:szCs w:val="20"/>
          <w:lang w:val="en-GB"/>
        </w:rPr>
      </w:pPr>
      <w:r w:rsidRPr="006144E6">
        <w:rPr>
          <w:rFonts w:cs="Arial"/>
          <w:i/>
          <w:sz w:val="20"/>
          <w:szCs w:val="20"/>
          <w:lang w:val="en-GB"/>
        </w:rPr>
        <w:t>c</w:t>
      </w:r>
      <w:r w:rsidR="00E85DD3" w:rsidRPr="006144E6">
        <w:rPr>
          <w:rFonts w:cs="Arial"/>
          <w:i/>
          <w:sz w:val="20"/>
          <w:szCs w:val="20"/>
          <w:lang w:val="en-GB"/>
        </w:rPr>
        <w:t>overage</w:t>
      </w:r>
      <w:r w:rsidR="005747A4">
        <w:rPr>
          <w:rFonts w:cs="Arial"/>
          <w:i/>
          <w:sz w:val="20"/>
          <w:szCs w:val="20"/>
          <w:lang w:val="en-GB"/>
        </w:rPr>
        <w:t xml:space="preserve"> and sampling</w:t>
      </w:r>
    </w:p>
    <w:p w14:paraId="38232645" w14:textId="77777777" w:rsidR="00E85DD3" w:rsidRPr="006144E6" w:rsidRDefault="0025113E" w:rsidP="00605C75">
      <w:pPr>
        <w:pStyle w:val="ListParagraph"/>
        <w:keepNext/>
        <w:numPr>
          <w:ilvl w:val="0"/>
          <w:numId w:val="1"/>
        </w:numPr>
        <w:rPr>
          <w:rFonts w:cs="Arial"/>
          <w:i/>
          <w:sz w:val="20"/>
          <w:szCs w:val="20"/>
          <w:lang w:val="en-GB"/>
        </w:rPr>
      </w:pPr>
      <w:r w:rsidRPr="006144E6">
        <w:rPr>
          <w:rFonts w:cs="Arial"/>
          <w:i/>
          <w:sz w:val="20"/>
          <w:szCs w:val="20"/>
          <w:lang w:val="en-GB"/>
        </w:rPr>
        <w:t>i</w:t>
      </w:r>
      <w:r w:rsidR="00E85DD3" w:rsidRPr="006144E6">
        <w:rPr>
          <w:rFonts w:cs="Arial"/>
          <w:i/>
          <w:sz w:val="20"/>
          <w:szCs w:val="20"/>
          <w:lang w:val="en-GB"/>
        </w:rPr>
        <w:t>tem life cycle</w:t>
      </w:r>
    </w:p>
    <w:p w14:paraId="377FED13" w14:textId="77777777" w:rsidR="00E85DD3" w:rsidRDefault="0025113E" w:rsidP="00605C75">
      <w:pPr>
        <w:pStyle w:val="ListParagraph"/>
        <w:keepNext/>
        <w:numPr>
          <w:ilvl w:val="0"/>
          <w:numId w:val="1"/>
        </w:numPr>
        <w:rPr>
          <w:rFonts w:cs="Arial"/>
          <w:i/>
          <w:sz w:val="20"/>
          <w:szCs w:val="20"/>
          <w:lang w:val="en-GB"/>
        </w:rPr>
      </w:pPr>
      <w:r w:rsidRPr="006144E6">
        <w:rPr>
          <w:rFonts w:cs="Arial"/>
          <w:i/>
          <w:sz w:val="20"/>
          <w:szCs w:val="20"/>
          <w:lang w:val="en-GB"/>
        </w:rPr>
        <w:t>q</w:t>
      </w:r>
      <w:r w:rsidR="00E85DD3" w:rsidRPr="006144E6">
        <w:rPr>
          <w:rFonts w:cs="Arial"/>
          <w:i/>
          <w:sz w:val="20"/>
          <w:szCs w:val="20"/>
          <w:lang w:val="en-GB"/>
        </w:rPr>
        <w:t>uality changes</w:t>
      </w:r>
    </w:p>
    <w:p w14:paraId="41B6BABC" w14:textId="77777777" w:rsidR="005747A4" w:rsidRPr="005747A4" w:rsidRDefault="005747A4" w:rsidP="005747A4">
      <w:pPr>
        <w:pStyle w:val="ListParagraph"/>
        <w:keepNext/>
        <w:numPr>
          <w:ilvl w:val="0"/>
          <w:numId w:val="1"/>
        </w:numPr>
        <w:rPr>
          <w:rFonts w:cs="Arial"/>
          <w:i/>
          <w:sz w:val="20"/>
          <w:szCs w:val="20"/>
          <w:lang w:val="en-GB"/>
        </w:rPr>
      </w:pPr>
      <w:r w:rsidRPr="006144E6">
        <w:rPr>
          <w:rFonts w:cs="Arial"/>
          <w:i/>
          <w:sz w:val="20"/>
          <w:szCs w:val="20"/>
          <w:lang w:val="en-GB"/>
        </w:rPr>
        <w:t>chain drift</w:t>
      </w:r>
    </w:p>
    <w:p w14:paraId="1A26870E" w14:textId="11D4D717" w:rsidR="0025113E" w:rsidRPr="006144E6" w:rsidRDefault="00E85DD3" w:rsidP="00BB1771">
      <w:pPr>
        <w:keepNext/>
        <w:rPr>
          <w:rFonts w:cs="Arial"/>
          <w:i/>
          <w:sz w:val="20"/>
          <w:szCs w:val="20"/>
          <w:lang w:val="en-GB"/>
        </w:rPr>
      </w:pPr>
      <w:r w:rsidRPr="006144E6">
        <w:rPr>
          <w:rFonts w:cs="Arial"/>
          <w:i/>
          <w:sz w:val="20"/>
          <w:szCs w:val="20"/>
          <w:lang w:val="en-GB"/>
        </w:rPr>
        <w:t>The review</w:t>
      </w:r>
      <w:r w:rsidR="00BF10B0">
        <w:rPr>
          <w:rFonts w:cs="Arial"/>
          <w:i/>
          <w:sz w:val="20"/>
          <w:szCs w:val="20"/>
          <w:lang w:val="en-GB"/>
        </w:rPr>
        <w:t>s</w:t>
      </w:r>
      <w:r w:rsidRPr="006144E6">
        <w:rPr>
          <w:rFonts w:cs="Arial"/>
          <w:i/>
          <w:sz w:val="20"/>
          <w:szCs w:val="20"/>
          <w:lang w:val="en-GB"/>
        </w:rPr>
        <w:t xml:space="preserve"> concluded that: </w:t>
      </w:r>
    </w:p>
    <w:p w14:paraId="5317E5DF" w14:textId="77777777" w:rsidR="006F0336" w:rsidRPr="006144E6" w:rsidRDefault="006F0336" w:rsidP="00605C75">
      <w:pPr>
        <w:pStyle w:val="ListParagraph"/>
        <w:keepNext/>
        <w:numPr>
          <w:ilvl w:val="0"/>
          <w:numId w:val="1"/>
        </w:numPr>
        <w:rPr>
          <w:rFonts w:cs="Arial"/>
          <w:i/>
          <w:sz w:val="20"/>
          <w:szCs w:val="20"/>
          <w:lang w:val="en-GB"/>
        </w:rPr>
      </w:pPr>
      <w:r w:rsidRPr="006144E6">
        <w:rPr>
          <w:rFonts w:cs="Arial"/>
          <w:i/>
          <w:sz w:val="20"/>
          <w:szCs w:val="20"/>
          <w:lang w:val="en-GB"/>
        </w:rPr>
        <w:t>The choice o</w:t>
      </w:r>
      <w:r w:rsidR="008A44A9">
        <w:rPr>
          <w:rFonts w:cs="Arial"/>
          <w:i/>
          <w:sz w:val="20"/>
          <w:szCs w:val="20"/>
          <w:lang w:val="en-GB"/>
        </w:rPr>
        <w:t>f index calculation</w:t>
      </w:r>
      <w:r w:rsidRPr="006144E6">
        <w:rPr>
          <w:rFonts w:cs="Arial"/>
          <w:i/>
          <w:sz w:val="20"/>
          <w:szCs w:val="20"/>
          <w:lang w:val="en-GB"/>
        </w:rPr>
        <w:t xml:space="preserve"> method is sound.</w:t>
      </w:r>
    </w:p>
    <w:p w14:paraId="56DA8848" w14:textId="77777777" w:rsidR="0025113E" w:rsidRPr="006144E6" w:rsidRDefault="0025113E" w:rsidP="00605C75">
      <w:pPr>
        <w:pStyle w:val="ListParagraph"/>
        <w:keepNext/>
        <w:numPr>
          <w:ilvl w:val="0"/>
          <w:numId w:val="1"/>
        </w:numPr>
        <w:rPr>
          <w:rFonts w:cs="Arial"/>
          <w:i/>
          <w:sz w:val="20"/>
          <w:szCs w:val="20"/>
          <w:lang w:val="en-GB"/>
        </w:rPr>
      </w:pPr>
      <w:r w:rsidRPr="006144E6">
        <w:rPr>
          <w:rFonts w:cs="Arial"/>
          <w:i/>
          <w:sz w:val="20"/>
          <w:szCs w:val="20"/>
          <w:lang w:val="en-GB"/>
        </w:rPr>
        <w:t>The coverage is sufficient.</w:t>
      </w:r>
    </w:p>
    <w:p w14:paraId="18AB1E0E" w14:textId="606420C1" w:rsidR="0025113E" w:rsidRDefault="0025113E" w:rsidP="00605C75">
      <w:pPr>
        <w:pStyle w:val="ListParagraph"/>
        <w:keepNext/>
        <w:numPr>
          <w:ilvl w:val="0"/>
          <w:numId w:val="1"/>
        </w:numPr>
        <w:rPr>
          <w:rFonts w:cs="Arial"/>
          <w:i/>
          <w:sz w:val="20"/>
          <w:szCs w:val="20"/>
          <w:lang w:val="en-GB"/>
        </w:rPr>
      </w:pPr>
      <w:r w:rsidRPr="006144E6">
        <w:rPr>
          <w:rFonts w:cs="Arial"/>
          <w:i/>
          <w:sz w:val="20"/>
          <w:szCs w:val="20"/>
          <w:lang w:val="en-GB"/>
        </w:rPr>
        <w:t>T</w:t>
      </w:r>
      <w:r w:rsidR="00E85DD3" w:rsidRPr="006144E6">
        <w:rPr>
          <w:rFonts w:cs="Arial"/>
          <w:i/>
          <w:sz w:val="20"/>
          <w:szCs w:val="20"/>
          <w:lang w:val="en-GB"/>
        </w:rPr>
        <w:t>he effect of the item</w:t>
      </w:r>
      <w:r w:rsidR="008C4F9D" w:rsidRPr="006144E6">
        <w:rPr>
          <w:rFonts w:cs="Arial"/>
          <w:i/>
          <w:sz w:val="20"/>
          <w:szCs w:val="20"/>
          <w:lang w:val="en-GB"/>
        </w:rPr>
        <w:t xml:space="preserve"> live cycle is small </w:t>
      </w:r>
      <w:r w:rsidR="008C4F9D" w:rsidRPr="005747A4">
        <w:rPr>
          <w:rFonts w:cs="Arial"/>
          <w:i/>
          <w:sz w:val="20"/>
          <w:szCs w:val="20"/>
          <w:lang w:val="en-GB"/>
        </w:rPr>
        <w:t>and not significant</w:t>
      </w:r>
      <w:r w:rsidRPr="005747A4">
        <w:rPr>
          <w:rFonts w:cs="Arial"/>
          <w:i/>
          <w:sz w:val="20"/>
          <w:szCs w:val="20"/>
          <w:lang w:val="en-GB"/>
        </w:rPr>
        <w:t>.</w:t>
      </w:r>
    </w:p>
    <w:p w14:paraId="17D7A1B5" w14:textId="72747002" w:rsidR="00BF10B0" w:rsidRDefault="00BF10B0" w:rsidP="005747A4">
      <w:pPr>
        <w:pStyle w:val="ListParagraph"/>
        <w:keepNext/>
        <w:numPr>
          <w:ilvl w:val="0"/>
          <w:numId w:val="1"/>
        </w:numPr>
        <w:rPr>
          <w:rFonts w:cs="Arial"/>
          <w:i/>
          <w:sz w:val="20"/>
          <w:szCs w:val="20"/>
          <w:lang w:val="en-GB"/>
        </w:rPr>
      </w:pPr>
      <w:r w:rsidRPr="006144E6">
        <w:rPr>
          <w:rFonts w:cs="Arial"/>
          <w:i/>
          <w:sz w:val="20"/>
          <w:szCs w:val="20"/>
          <w:lang w:val="en-GB"/>
        </w:rPr>
        <w:t xml:space="preserve">The effect of quality changes (determined by length of service and education) </w:t>
      </w:r>
      <w:r>
        <w:rPr>
          <w:rFonts w:cs="Arial"/>
          <w:i/>
          <w:sz w:val="20"/>
          <w:szCs w:val="20"/>
          <w:lang w:val="en-GB"/>
        </w:rPr>
        <w:t xml:space="preserve">should be </w:t>
      </w:r>
      <w:r w:rsidR="00394CE2">
        <w:rPr>
          <w:rFonts w:cs="Arial"/>
          <w:i/>
          <w:sz w:val="20"/>
          <w:szCs w:val="20"/>
          <w:lang w:val="en-GB"/>
        </w:rPr>
        <w:t>exam</w:t>
      </w:r>
      <w:bookmarkStart w:id="0" w:name="_GoBack"/>
      <w:bookmarkEnd w:id="0"/>
      <w:r w:rsidR="00394CE2">
        <w:rPr>
          <w:rFonts w:cs="Arial"/>
          <w:i/>
          <w:sz w:val="20"/>
          <w:szCs w:val="20"/>
          <w:lang w:val="en-GB"/>
        </w:rPr>
        <w:t>ined</w:t>
      </w:r>
      <w:r>
        <w:rPr>
          <w:rFonts w:cs="Arial"/>
          <w:i/>
          <w:sz w:val="20"/>
          <w:szCs w:val="20"/>
          <w:lang w:val="en-GB"/>
        </w:rPr>
        <w:t>.</w:t>
      </w:r>
    </w:p>
    <w:p w14:paraId="3A86EABD" w14:textId="4880FF86" w:rsidR="005747A4" w:rsidRPr="005747A4" w:rsidRDefault="005747A4" w:rsidP="005747A4">
      <w:pPr>
        <w:pStyle w:val="ListParagraph"/>
        <w:keepNext/>
        <w:numPr>
          <w:ilvl w:val="0"/>
          <w:numId w:val="1"/>
        </w:numPr>
        <w:rPr>
          <w:rFonts w:cs="Arial"/>
          <w:i/>
          <w:sz w:val="20"/>
          <w:szCs w:val="20"/>
          <w:lang w:val="en-GB"/>
        </w:rPr>
      </w:pPr>
      <w:r w:rsidRPr="006144E6">
        <w:rPr>
          <w:rFonts w:cs="Arial"/>
          <w:i/>
          <w:sz w:val="20"/>
          <w:szCs w:val="20"/>
          <w:lang w:val="en-GB"/>
        </w:rPr>
        <w:t>The chain drift is not significant since its direction is indeterminate at each time step and its values very small.</w:t>
      </w:r>
    </w:p>
    <w:p w14:paraId="64E83098" w14:textId="77777777" w:rsidR="00E85DD3" w:rsidRPr="006144E6" w:rsidRDefault="00E85DD3" w:rsidP="00E85DD3">
      <w:pPr>
        <w:spacing w:before="240"/>
        <w:rPr>
          <w:rFonts w:cs="Arial"/>
          <w:szCs w:val="24"/>
          <w:lang w:val="en-GB"/>
        </w:rPr>
      </w:pPr>
      <w:r w:rsidRPr="006144E6">
        <w:rPr>
          <w:rFonts w:cs="Arial"/>
          <w:b/>
          <w:sz w:val="20"/>
          <w:szCs w:val="20"/>
          <w:lang w:val="en-GB"/>
        </w:rPr>
        <w:t xml:space="preserve">Keywords: </w:t>
      </w:r>
      <w:r w:rsidRPr="006144E6">
        <w:rPr>
          <w:rFonts w:cs="Arial"/>
          <w:sz w:val="20"/>
          <w:szCs w:val="20"/>
          <w:lang w:val="en-GB"/>
        </w:rPr>
        <w:t>Wages, index, price</w:t>
      </w:r>
    </w:p>
    <w:p w14:paraId="3A9D328D" w14:textId="3F0AC15B" w:rsidR="00AF06A3" w:rsidRPr="006144E6" w:rsidRDefault="00AF06A3" w:rsidP="0099678F">
      <w:pPr>
        <w:pStyle w:val="Heading1"/>
      </w:pPr>
      <w:r w:rsidRPr="006144E6">
        <w:lastRenderedPageBreak/>
        <w:t xml:space="preserve">The Icelandic </w:t>
      </w:r>
      <w:r w:rsidRPr="0099678F">
        <w:t>wage</w:t>
      </w:r>
      <w:r w:rsidRPr="006144E6">
        <w:t xml:space="preserve"> </w:t>
      </w:r>
      <w:r w:rsidR="008231F9">
        <w:t xml:space="preserve">price </w:t>
      </w:r>
      <w:r w:rsidRPr="006144E6">
        <w:t>index</w:t>
      </w:r>
    </w:p>
    <w:p w14:paraId="3BA92450" w14:textId="4A8548F9" w:rsidR="00AF06A3" w:rsidRPr="006144E6" w:rsidRDefault="00893016" w:rsidP="00AF06A3">
      <w:pPr>
        <w:rPr>
          <w:szCs w:val="24"/>
          <w:lang w:val="en-GB"/>
        </w:rPr>
      </w:pPr>
      <w:r w:rsidRPr="006144E6">
        <w:rPr>
          <w:lang w:val="en-GB"/>
        </w:rPr>
        <w:t>The Icelandic wage</w:t>
      </w:r>
      <w:r w:rsidR="008231F9">
        <w:rPr>
          <w:lang w:val="en-GB"/>
        </w:rPr>
        <w:t xml:space="preserve"> price</w:t>
      </w:r>
      <w:r w:rsidRPr="006144E6">
        <w:rPr>
          <w:lang w:val="en-GB"/>
        </w:rPr>
        <w:t xml:space="preserve"> index, hereafter referred to as IWPI, is based on the Act on the Wage Index</w:t>
      </w:r>
      <w:r w:rsidR="006557EF" w:rsidRPr="006144E6">
        <w:rPr>
          <w:lang w:val="en-GB"/>
        </w:rPr>
        <w:t xml:space="preserve"> </w:t>
      </w:r>
      <w:r w:rsidR="005747A4">
        <w:rPr>
          <w:lang w:val="en-GB"/>
        </w:rPr>
        <w:t xml:space="preserve">No 89/1989 </w:t>
      </w:r>
      <w:r w:rsidRPr="006144E6">
        <w:rPr>
          <w:lang w:val="en-GB"/>
        </w:rPr>
        <w:t>and t</w:t>
      </w:r>
      <w:r w:rsidR="00AF06A3" w:rsidRPr="006144E6">
        <w:rPr>
          <w:lang w:val="en-GB"/>
        </w:rPr>
        <w:t xml:space="preserve">he purpose is to measure </w:t>
      </w:r>
      <w:r w:rsidR="00AF06A3" w:rsidRPr="006144E6">
        <w:rPr>
          <w:i/>
          <w:lang w:val="en-GB"/>
        </w:rPr>
        <w:t xml:space="preserve">changes in wages </w:t>
      </w:r>
      <w:r w:rsidR="00AF06A3" w:rsidRPr="006144E6">
        <w:rPr>
          <w:szCs w:val="24"/>
          <w:lang w:val="en-GB"/>
        </w:rPr>
        <w:t xml:space="preserve">paid by employers </w:t>
      </w:r>
      <w:r w:rsidR="00AF06A3" w:rsidRPr="006144E6">
        <w:rPr>
          <w:i/>
          <w:szCs w:val="24"/>
          <w:lang w:val="en-GB"/>
        </w:rPr>
        <w:t>for one hour of work</w:t>
      </w:r>
      <w:r w:rsidR="00AF06A3" w:rsidRPr="006144E6">
        <w:rPr>
          <w:szCs w:val="24"/>
          <w:lang w:val="en-GB"/>
        </w:rPr>
        <w:t>, betwee</w:t>
      </w:r>
      <w:r w:rsidR="00384DF9">
        <w:rPr>
          <w:szCs w:val="24"/>
          <w:lang w:val="en-GB"/>
        </w:rPr>
        <w:t>n two successive points in time for fixed number of working hours.</w:t>
      </w:r>
    </w:p>
    <w:p w14:paraId="62E2E9C7" w14:textId="77777777" w:rsidR="00AF06A3" w:rsidRPr="006144E6" w:rsidRDefault="00AF06A3" w:rsidP="00AF06A3">
      <w:pPr>
        <w:rPr>
          <w:szCs w:val="24"/>
          <w:lang w:val="en-GB"/>
        </w:rPr>
      </w:pPr>
      <w:r w:rsidRPr="006144E6">
        <w:rPr>
          <w:szCs w:val="24"/>
          <w:lang w:val="en-GB"/>
        </w:rPr>
        <w:t>By definition, the</w:t>
      </w:r>
      <w:r w:rsidRPr="006144E6">
        <w:rPr>
          <w:b/>
          <w:szCs w:val="24"/>
          <w:lang w:val="en-GB"/>
        </w:rPr>
        <w:t xml:space="preserve"> </w:t>
      </w:r>
      <w:r w:rsidRPr="006144E6">
        <w:rPr>
          <w:b/>
          <w:i/>
          <w:szCs w:val="24"/>
          <w:lang w:val="en-GB"/>
        </w:rPr>
        <w:t>item</w:t>
      </w:r>
      <w:r w:rsidRPr="006144E6">
        <w:rPr>
          <w:szCs w:val="24"/>
          <w:lang w:val="en-GB"/>
        </w:rPr>
        <w:t xml:space="preserve"> used in constructing the IWPI is the hourly wage. </w:t>
      </w:r>
    </w:p>
    <w:p w14:paraId="362F5388" w14:textId="77777777" w:rsidR="00AF06A3" w:rsidRPr="006144E6" w:rsidRDefault="00AF06A3" w:rsidP="00AF06A3">
      <w:pPr>
        <w:rPr>
          <w:szCs w:val="24"/>
          <w:lang w:val="en-GB"/>
        </w:rPr>
      </w:pPr>
      <w:r w:rsidRPr="006144E6">
        <w:rPr>
          <w:szCs w:val="24"/>
          <w:lang w:val="en-GB"/>
        </w:rPr>
        <w:t xml:space="preserve">The </w:t>
      </w:r>
      <w:r w:rsidRPr="006144E6">
        <w:rPr>
          <w:b/>
          <w:i/>
          <w:szCs w:val="24"/>
          <w:lang w:val="en-GB"/>
        </w:rPr>
        <w:t>elementary aggregate</w:t>
      </w:r>
      <w:r w:rsidRPr="006144E6">
        <w:rPr>
          <w:szCs w:val="24"/>
          <w:lang w:val="en-GB"/>
        </w:rPr>
        <w:t xml:space="preserve"> is the </w:t>
      </w:r>
      <w:r w:rsidRPr="006144E6">
        <w:rPr>
          <w:i/>
          <w:szCs w:val="24"/>
          <w:lang w:val="en-GB"/>
        </w:rPr>
        <w:t>ideal elementary aggregate</w:t>
      </w:r>
      <w:r w:rsidRPr="006144E6">
        <w:rPr>
          <w:szCs w:val="24"/>
          <w:lang w:val="en-GB"/>
        </w:rPr>
        <w:t xml:space="preserve"> (ILO, IMF, 2004), i.e. the item itself - hourly wages paid to an employee for fixed working hours within the same occupation</w:t>
      </w:r>
      <w:r w:rsidRPr="006144E6">
        <w:rPr>
          <w:rStyle w:val="FootnoteReference"/>
          <w:szCs w:val="24"/>
          <w:lang w:val="en-GB"/>
        </w:rPr>
        <w:footnoteReference w:id="1"/>
      </w:r>
      <w:r w:rsidRPr="006144E6">
        <w:rPr>
          <w:szCs w:val="24"/>
          <w:lang w:val="en-GB"/>
        </w:rPr>
        <w:t xml:space="preserve"> the same economic activity</w:t>
      </w:r>
      <w:r w:rsidRPr="006144E6">
        <w:rPr>
          <w:rStyle w:val="FootnoteReference"/>
          <w:szCs w:val="24"/>
          <w:lang w:val="en-GB"/>
        </w:rPr>
        <w:footnoteReference w:id="2"/>
      </w:r>
      <w:r w:rsidRPr="006144E6">
        <w:rPr>
          <w:szCs w:val="24"/>
          <w:lang w:val="en-GB"/>
        </w:rPr>
        <w:t xml:space="preserve"> and the same </w:t>
      </w:r>
      <w:r w:rsidR="00893016" w:rsidRPr="006144E6">
        <w:rPr>
          <w:szCs w:val="24"/>
          <w:lang w:val="en-GB"/>
        </w:rPr>
        <w:t>employer.</w:t>
      </w:r>
    </w:p>
    <w:p w14:paraId="50A452E2" w14:textId="77777777" w:rsidR="006557EF" w:rsidRPr="006144E6" w:rsidRDefault="006557EF" w:rsidP="00AF06A3">
      <w:pPr>
        <w:rPr>
          <w:szCs w:val="24"/>
          <w:lang w:val="en-GB"/>
        </w:rPr>
      </w:pPr>
      <w:r w:rsidRPr="006144E6">
        <w:rPr>
          <w:szCs w:val="24"/>
          <w:lang w:val="en-GB"/>
        </w:rPr>
        <w:t xml:space="preserve">Metadata on the IWPI are available at </w:t>
      </w:r>
      <w:r w:rsidR="005747A4" w:rsidRPr="006144E6">
        <w:rPr>
          <w:szCs w:val="24"/>
          <w:lang w:val="en-GB"/>
        </w:rPr>
        <w:t>Statistics</w:t>
      </w:r>
      <w:r w:rsidRPr="006144E6">
        <w:rPr>
          <w:szCs w:val="24"/>
          <w:lang w:val="en-GB"/>
        </w:rPr>
        <w:t xml:space="preserve"> Iceland website</w:t>
      </w:r>
      <w:r w:rsidRPr="006144E6">
        <w:rPr>
          <w:rStyle w:val="FootnoteReference"/>
          <w:szCs w:val="24"/>
          <w:lang w:val="en-GB"/>
        </w:rPr>
        <w:footnoteReference w:id="3"/>
      </w:r>
      <w:r w:rsidRPr="006144E6">
        <w:rPr>
          <w:szCs w:val="24"/>
          <w:lang w:val="en-GB"/>
        </w:rPr>
        <w:t>.</w:t>
      </w:r>
    </w:p>
    <w:p w14:paraId="4B0C9712" w14:textId="77777777" w:rsidR="00AF06A3" w:rsidRPr="006144E6" w:rsidRDefault="00AF06A3" w:rsidP="0099678F">
      <w:pPr>
        <w:pStyle w:val="Heading2"/>
        <w:rPr>
          <w:szCs w:val="24"/>
        </w:rPr>
      </w:pPr>
      <w:r w:rsidRPr="0099678F">
        <w:t>Historical</w:t>
      </w:r>
      <w:r w:rsidRPr="006144E6">
        <w:t xml:space="preserve"> roots</w:t>
      </w:r>
    </w:p>
    <w:p w14:paraId="3D0C67C1" w14:textId="77777777" w:rsidR="00235340" w:rsidRPr="006144E6" w:rsidRDefault="00147A34" w:rsidP="00BB1771">
      <w:pPr>
        <w:rPr>
          <w:lang w:val="en-GB"/>
        </w:rPr>
      </w:pPr>
      <w:r w:rsidRPr="006144E6">
        <w:rPr>
          <w:lang w:val="en-GB"/>
        </w:rPr>
        <w:t xml:space="preserve">The historical roots of the </w:t>
      </w:r>
      <w:r w:rsidR="00893016" w:rsidRPr="006144E6">
        <w:rPr>
          <w:lang w:val="en-GB"/>
        </w:rPr>
        <w:t>IWPI</w:t>
      </w:r>
      <w:r w:rsidRPr="006144E6">
        <w:rPr>
          <w:lang w:val="en-GB"/>
        </w:rPr>
        <w:t xml:space="preserve"> are in the indexation of financial obligations in Iceland. From year 1979 indexation </w:t>
      </w:r>
      <w:proofErr w:type="gramStart"/>
      <w:r w:rsidRPr="006144E6">
        <w:rPr>
          <w:lang w:val="en-GB"/>
        </w:rPr>
        <w:t>was based</w:t>
      </w:r>
      <w:proofErr w:type="gramEnd"/>
      <w:r w:rsidRPr="006144E6">
        <w:rPr>
          <w:lang w:val="en-GB"/>
        </w:rPr>
        <w:t xml:space="preserve"> on a composite index based on 2/3 of changes in consumer prices and 1/3 of changes in building costs. This changed in early 1989 to 1/3 of changes in consumer prices, 1/3 of changes of building costs and 1/3 of changes in wages. Consequently, each part needed to </w:t>
      </w:r>
      <w:proofErr w:type="gramStart"/>
      <w:r w:rsidRPr="006144E6">
        <w:rPr>
          <w:lang w:val="en-GB"/>
        </w:rPr>
        <w:t>be calculated</w:t>
      </w:r>
      <w:proofErr w:type="gramEnd"/>
      <w:r w:rsidRPr="006144E6">
        <w:rPr>
          <w:lang w:val="en-GB"/>
        </w:rPr>
        <w:t xml:space="preserve"> on a monthly basis. This led to the need for a legal basis</w:t>
      </w:r>
      <w:r w:rsidR="00893016" w:rsidRPr="006144E6">
        <w:rPr>
          <w:lang w:val="en-GB"/>
        </w:rPr>
        <w:t xml:space="preserve"> </w:t>
      </w:r>
      <w:r w:rsidRPr="006144E6">
        <w:rPr>
          <w:lang w:val="en-GB"/>
        </w:rPr>
        <w:t xml:space="preserve">for the wage index and in longer terms a renewal of the existing data collection on wages. </w:t>
      </w:r>
    </w:p>
    <w:p w14:paraId="1FF52544" w14:textId="77777777" w:rsidR="00147A34" w:rsidRPr="006144E6" w:rsidRDefault="00147A34" w:rsidP="00BB1771">
      <w:pPr>
        <w:rPr>
          <w:lang w:val="en-GB"/>
        </w:rPr>
      </w:pPr>
      <w:r w:rsidRPr="006144E6">
        <w:rPr>
          <w:lang w:val="en-GB"/>
        </w:rPr>
        <w:t>The legal base for the indexation of financial obligations changed in 1995 to rely solely on the Consumer Price Index</w:t>
      </w:r>
      <w:r w:rsidR="00384DF9">
        <w:rPr>
          <w:lang w:val="en-GB"/>
        </w:rPr>
        <w:t xml:space="preserve"> but the act on the W</w:t>
      </w:r>
      <w:r w:rsidRPr="006144E6">
        <w:rPr>
          <w:lang w:val="en-GB"/>
        </w:rPr>
        <w:t>age index</w:t>
      </w:r>
      <w:r w:rsidR="00384DF9">
        <w:rPr>
          <w:lang w:val="en-GB"/>
        </w:rPr>
        <w:t xml:space="preserve"> remained unchanged. The IWPI</w:t>
      </w:r>
      <w:r w:rsidRPr="006144E6">
        <w:rPr>
          <w:lang w:val="en-GB"/>
        </w:rPr>
        <w:t xml:space="preserve"> has become widely used in the Icelandic economy as the main indicator of changes in wages and wage growth, especially in collective negotiations by the social partners</w:t>
      </w:r>
      <w:r w:rsidR="00235340" w:rsidRPr="006144E6">
        <w:rPr>
          <w:lang w:val="en-GB"/>
        </w:rPr>
        <w:t>, who consequently started to question the soundness of the methodology of the index.</w:t>
      </w:r>
    </w:p>
    <w:p w14:paraId="1AA3667D" w14:textId="4DD2637D" w:rsidR="00235340" w:rsidRPr="006144E6" w:rsidRDefault="00384DF9" w:rsidP="00BB1771">
      <w:pPr>
        <w:rPr>
          <w:lang w:val="en-GB"/>
        </w:rPr>
      </w:pPr>
      <w:r>
        <w:rPr>
          <w:lang w:val="en-GB"/>
        </w:rPr>
        <w:lastRenderedPageBreak/>
        <w:t xml:space="preserve">Following this criticism </w:t>
      </w:r>
      <w:r w:rsidR="00796098" w:rsidRPr="006144E6">
        <w:rPr>
          <w:lang w:val="en-GB"/>
        </w:rPr>
        <w:t>the Prime minister appointed a committee</w:t>
      </w:r>
      <w:r>
        <w:rPr>
          <w:lang w:val="en-GB"/>
        </w:rPr>
        <w:t>, in March 2018,</w:t>
      </w:r>
      <w:r w:rsidR="00796098" w:rsidRPr="006144E6">
        <w:rPr>
          <w:lang w:val="en-GB"/>
        </w:rPr>
        <w:t xml:space="preserve"> to review wage statistics in Iceland in general, and the wage index in particular. </w:t>
      </w:r>
      <w:proofErr w:type="gramStart"/>
      <w:r w:rsidR="00796098" w:rsidRPr="006144E6">
        <w:rPr>
          <w:lang w:val="en-GB"/>
        </w:rPr>
        <w:t>Statistics Iceland</w:t>
      </w:r>
      <w:r>
        <w:rPr>
          <w:lang w:val="en-GB"/>
        </w:rPr>
        <w:t xml:space="preserve"> (2018)</w:t>
      </w:r>
      <w:r w:rsidR="00796098" w:rsidRPr="006144E6">
        <w:rPr>
          <w:lang w:val="en-GB"/>
        </w:rPr>
        <w:t xml:space="preserve"> </w:t>
      </w:r>
      <w:r>
        <w:rPr>
          <w:lang w:val="en-GB"/>
        </w:rPr>
        <w:t xml:space="preserve">performed an internal review of the IWPI led by the </w:t>
      </w:r>
      <w:r w:rsidR="00796098" w:rsidRPr="006144E6">
        <w:rPr>
          <w:lang w:val="en-GB"/>
        </w:rPr>
        <w:t>chief</w:t>
      </w:r>
      <w:r>
        <w:rPr>
          <w:lang w:val="en-GB"/>
        </w:rPr>
        <w:t xml:space="preserve"> methodologist, Violeta Calian,</w:t>
      </w:r>
      <w:r w:rsidR="005F59B5" w:rsidRPr="006144E6">
        <w:rPr>
          <w:lang w:val="en-GB"/>
        </w:rPr>
        <w:t xml:space="preserve"> </w:t>
      </w:r>
      <w:r w:rsidR="00796098" w:rsidRPr="006144E6">
        <w:rPr>
          <w:lang w:val="en-GB"/>
        </w:rPr>
        <w:t xml:space="preserve">and </w:t>
      </w:r>
      <w:r>
        <w:rPr>
          <w:lang w:val="en-GB"/>
        </w:rPr>
        <w:t xml:space="preserve">an external review was done by </w:t>
      </w:r>
      <w:r w:rsidRPr="006144E6">
        <w:rPr>
          <w:lang w:val="en-GB"/>
        </w:rPr>
        <w:t>Dr Kim Zieschang</w:t>
      </w:r>
      <w:r>
        <w:rPr>
          <w:lang w:val="en-GB"/>
        </w:rPr>
        <w:t xml:space="preserve"> (2019)</w:t>
      </w:r>
      <w:proofErr w:type="gramEnd"/>
      <w:r w:rsidR="00796098" w:rsidRPr="006144E6">
        <w:rPr>
          <w:lang w:val="en-GB"/>
        </w:rPr>
        <w:t>.</w:t>
      </w:r>
    </w:p>
    <w:p w14:paraId="099F9983" w14:textId="77777777" w:rsidR="00BB1771" w:rsidRPr="006144E6" w:rsidRDefault="00893016" w:rsidP="0099678F">
      <w:pPr>
        <w:pStyle w:val="Heading2"/>
      </w:pPr>
      <w:r w:rsidRPr="006144E6">
        <w:t xml:space="preserve"> </w:t>
      </w:r>
      <w:r w:rsidR="00BB1771" w:rsidRPr="006144E6">
        <w:t>Data source</w:t>
      </w:r>
    </w:p>
    <w:p w14:paraId="4AD0F0BC" w14:textId="363A6630" w:rsidR="00BB1771" w:rsidRPr="006144E6" w:rsidRDefault="00BB1771" w:rsidP="00BB1771">
      <w:pPr>
        <w:rPr>
          <w:lang w:val="en-GB"/>
        </w:rPr>
      </w:pPr>
      <w:r w:rsidRPr="006144E6">
        <w:rPr>
          <w:lang w:val="en-GB"/>
        </w:rPr>
        <w:t xml:space="preserve">The </w:t>
      </w:r>
      <w:r w:rsidR="00596408" w:rsidRPr="006144E6">
        <w:rPr>
          <w:lang w:val="en-GB"/>
        </w:rPr>
        <w:t>IWPI</w:t>
      </w:r>
      <w:r w:rsidRPr="006144E6">
        <w:rPr>
          <w:lang w:val="en-GB"/>
        </w:rPr>
        <w:t xml:space="preserve"> </w:t>
      </w:r>
      <w:proofErr w:type="gramStart"/>
      <w:r w:rsidRPr="006144E6">
        <w:rPr>
          <w:lang w:val="en-GB"/>
        </w:rPr>
        <w:t>is based</w:t>
      </w:r>
      <w:proofErr w:type="gramEnd"/>
      <w:r w:rsidRPr="006144E6">
        <w:rPr>
          <w:lang w:val="en-GB"/>
        </w:rPr>
        <w:t xml:space="preserve"> on the data collected through the Statistics Iceland Icelandic survey on wages, earnings and labour costs (ISWEL). The survey </w:t>
      </w:r>
      <w:proofErr w:type="gramStart"/>
      <w:r w:rsidRPr="006144E6">
        <w:rPr>
          <w:lang w:val="en-GB"/>
        </w:rPr>
        <w:t>is based</w:t>
      </w:r>
      <w:proofErr w:type="gramEnd"/>
      <w:r w:rsidRPr="006144E6">
        <w:rPr>
          <w:lang w:val="en-GB"/>
        </w:rPr>
        <w:t xml:space="preserve"> on a sample of private companies and municipalities (local government) with 10 or more employees. In addition, data </w:t>
      </w:r>
      <w:proofErr w:type="gramStart"/>
      <w:r w:rsidRPr="006144E6">
        <w:rPr>
          <w:lang w:val="en-GB"/>
        </w:rPr>
        <w:t>are collected</w:t>
      </w:r>
      <w:proofErr w:type="gramEnd"/>
      <w:r w:rsidRPr="006144E6">
        <w:rPr>
          <w:lang w:val="en-GB"/>
        </w:rPr>
        <w:t xml:space="preserve"> directly from the central government for all its employees. The data is collected monthly directly from the employers’ payroll systems and contains all labour costs and paid hours as well as background information on employees and employers. Validations checks </w:t>
      </w:r>
      <w:proofErr w:type="gramStart"/>
      <w:r w:rsidRPr="006144E6">
        <w:rPr>
          <w:lang w:val="en-GB"/>
        </w:rPr>
        <w:t>are performed</w:t>
      </w:r>
      <w:proofErr w:type="gramEnd"/>
      <w:r w:rsidRPr="006144E6">
        <w:rPr>
          <w:lang w:val="en-GB"/>
        </w:rPr>
        <w:t xml:space="preserve"> in accordance to predefined rules in order to eliminate or fix data items that are incorrect. The ISWEL is in accordance with regulations on surveys on earnings and labour</w:t>
      </w:r>
      <w:r w:rsidR="00BF10B0">
        <w:rPr>
          <w:lang w:val="en-GB"/>
        </w:rPr>
        <w:t xml:space="preserve"> costs</w:t>
      </w:r>
      <w:r w:rsidRPr="006144E6">
        <w:rPr>
          <w:lang w:val="en-GB"/>
        </w:rPr>
        <w:t xml:space="preserve"> in the European Economic Area. The ISWEL sample and weights </w:t>
      </w:r>
      <w:proofErr w:type="gramStart"/>
      <w:r w:rsidRPr="006144E6">
        <w:rPr>
          <w:lang w:val="en-GB"/>
        </w:rPr>
        <w:t>are based</w:t>
      </w:r>
      <w:proofErr w:type="gramEnd"/>
      <w:r w:rsidRPr="006144E6">
        <w:rPr>
          <w:lang w:val="en-GB"/>
        </w:rPr>
        <w:t xml:space="preserve"> on the </w:t>
      </w:r>
      <w:r w:rsidR="0030586C" w:rsidRPr="006144E6">
        <w:rPr>
          <w:lang w:val="en-GB"/>
        </w:rPr>
        <w:t>Pay as your Earn (PAYE)</w:t>
      </w:r>
      <w:r w:rsidRPr="006144E6">
        <w:rPr>
          <w:lang w:val="en-GB"/>
        </w:rPr>
        <w:t xml:space="preserve"> data</w:t>
      </w:r>
      <w:r w:rsidR="00CF25D5" w:rsidRPr="006144E6">
        <w:rPr>
          <w:lang w:val="en-GB"/>
        </w:rPr>
        <w:t>.</w:t>
      </w:r>
    </w:p>
    <w:p w14:paraId="4CB03456" w14:textId="77777777" w:rsidR="00235340" w:rsidRPr="006144E6" w:rsidRDefault="00235340" w:rsidP="0099678F">
      <w:pPr>
        <w:pStyle w:val="Heading2"/>
      </w:pPr>
      <w:r w:rsidRPr="006144E6">
        <w:t>Publications</w:t>
      </w:r>
    </w:p>
    <w:p w14:paraId="1ED4B17E" w14:textId="77777777" w:rsidR="00235340" w:rsidRPr="006144E6" w:rsidRDefault="00235340" w:rsidP="00235340">
      <w:pPr>
        <w:rPr>
          <w:lang w:val="en-GB"/>
        </w:rPr>
      </w:pPr>
      <w:r w:rsidRPr="006144E6">
        <w:rPr>
          <w:lang w:val="en-GB"/>
        </w:rPr>
        <w:t xml:space="preserve">Indices of the IWPI </w:t>
      </w:r>
      <w:proofErr w:type="gramStart"/>
      <w:r w:rsidRPr="006144E6">
        <w:rPr>
          <w:lang w:val="en-GB"/>
        </w:rPr>
        <w:t>are released</w:t>
      </w:r>
      <w:proofErr w:type="gramEnd"/>
      <w:r w:rsidRPr="006144E6">
        <w:rPr>
          <w:lang w:val="en-GB"/>
        </w:rPr>
        <w:t xml:space="preserve"> both monthly and quarterly</w:t>
      </w:r>
      <w:r w:rsidRPr="006144E6">
        <w:rPr>
          <w:rStyle w:val="FootnoteReference"/>
          <w:szCs w:val="24"/>
          <w:lang w:val="en-GB"/>
        </w:rPr>
        <w:footnoteReference w:id="4"/>
      </w:r>
      <w:r w:rsidRPr="006144E6">
        <w:rPr>
          <w:lang w:val="en-GB"/>
        </w:rPr>
        <w:t>, as a total index according to the legal act and as sub-indices to better serve users’ needs. While the IWPI is a legal requirement, Statistics Iceland is not obliged to publish any sub-indices.</w:t>
      </w:r>
    </w:p>
    <w:p w14:paraId="60A9F7FA" w14:textId="77777777" w:rsidR="00AF06A3" w:rsidRPr="006144E6" w:rsidRDefault="00235340" w:rsidP="00596408">
      <w:pPr>
        <w:rPr>
          <w:lang w:val="en-GB"/>
        </w:rPr>
      </w:pPr>
      <w:r w:rsidRPr="006144E6">
        <w:rPr>
          <w:lang w:val="en-GB"/>
        </w:rPr>
        <w:t xml:space="preserve">The total index of IWPI </w:t>
      </w:r>
      <w:proofErr w:type="gramStart"/>
      <w:r w:rsidRPr="006144E6">
        <w:rPr>
          <w:lang w:val="en-GB"/>
        </w:rPr>
        <w:t>is published</w:t>
      </w:r>
      <w:proofErr w:type="gramEnd"/>
      <w:r w:rsidRPr="006144E6">
        <w:rPr>
          <w:lang w:val="en-GB"/>
        </w:rPr>
        <w:t xml:space="preserve"> monthly about 20 days after </w:t>
      </w:r>
      <w:r w:rsidR="005F59B5" w:rsidRPr="006144E6">
        <w:rPr>
          <w:lang w:val="en-GB"/>
        </w:rPr>
        <w:t xml:space="preserve">the end of the reference month. </w:t>
      </w:r>
      <w:r w:rsidRPr="006144E6">
        <w:rPr>
          <w:lang w:val="en-GB"/>
        </w:rPr>
        <w:t xml:space="preserve">The sub-indices, i.e. the breakdown of the IWPI by sectors (including level of administration for the public sector) and by occupational group and economic activity sections for the private sector, are published monthly about 85 days after the end of the reference month. </w:t>
      </w:r>
    </w:p>
    <w:p w14:paraId="739B1D6A" w14:textId="77777777" w:rsidR="006F0336" w:rsidRPr="006144E6" w:rsidRDefault="00DC4BAC" w:rsidP="0099678F">
      <w:pPr>
        <w:pStyle w:val="Heading1"/>
      </w:pPr>
      <w:r>
        <w:t>M</w:t>
      </w:r>
      <w:r w:rsidR="006F0336" w:rsidRPr="006144E6">
        <w:t>ethod</w:t>
      </w:r>
    </w:p>
    <w:p w14:paraId="20C4656B" w14:textId="77777777" w:rsidR="006F0336" w:rsidRPr="006144E6" w:rsidRDefault="006F0336" w:rsidP="006F0336">
      <w:pPr>
        <w:rPr>
          <w:lang w:val="en-GB"/>
        </w:rPr>
      </w:pPr>
      <w:r w:rsidRPr="006144E6">
        <w:rPr>
          <w:lang w:val="en-GB"/>
        </w:rPr>
        <w:t xml:space="preserve">The IWPI </w:t>
      </w:r>
      <w:proofErr w:type="gramStart"/>
      <w:r w:rsidRPr="006144E6">
        <w:rPr>
          <w:lang w:val="en-GB"/>
        </w:rPr>
        <w:t>is based</w:t>
      </w:r>
      <w:proofErr w:type="gramEnd"/>
      <w:r w:rsidRPr="006144E6">
        <w:rPr>
          <w:lang w:val="en-GB"/>
        </w:rPr>
        <w:t xml:space="preserve"> on (weighted) changes, between two consecutive months, of regular hourly wages paid to an employee for fixed working hours within the same occupation, the same economic activity and by the same </w:t>
      </w:r>
      <w:r w:rsidR="005747A4" w:rsidRPr="006144E6">
        <w:rPr>
          <w:lang w:val="en-GB"/>
        </w:rPr>
        <w:t>employer, which</w:t>
      </w:r>
      <w:r w:rsidRPr="006144E6">
        <w:rPr>
          <w:lang w:val="en-GB"/>
        </w:rPr>
        <w:t xml:space="preserve"> is the elementary item </w:t>
      </w:r>
      <w:r w:rsidRPr="006144E6">
        <w:rPr>
          <w:lang w:val="en-GB"/>
        </w:rPr>
        <w:lastRenderedPageBreak/>
        <w:t xml:space="preserve">of the index. This approach </w:t>
      </w:r>
      <w:proofErr w:type="gramStart"/>
      <w:r w:rsidRPr="006144E6">
        <w:rPr>
          <w:lang w:val="en-GB"/>
        </w:rPr>
        <w:t>can be described</w:t>
      </w:r>
      <w:proofErr w:type="gramEnd"/>
      <w:r w:rsidRPr="006144E6">
        <w:rPr>
          <w:lang w:val="en-GB"/>
        </w:rPr>
        <w:t xml:space="preserve"> as a „matched model” </w:t>
      </w:r>
      <w:r w:rsidR="005747A4" w:rsidRPr="006144E6">
        <w:rPr>
          <w:lang w:val="en-GB"/>
        </w:rPr>
        <w:t>structure</w:t>
      </w:r>
      <w:r w:rsidRPr="006144E6">
        <w:rPr>
          <w:lang w:val="en-GB"/>
        </w:rPr>
        <w:t xml:space="preserve"> and is chosen for its ability to control for quality changes, especially when used in </w:t>
      </w:r>
      <w:r w:rsidR="005747A4" w:rsidRPr="006144E6">
        <w:rPr>
          <w:lang w:val="en-GB"/>
        </w:rPr>
        <w:t>conjunction</w:t>
      </w:r>
      <w:r w:rsidRPr="006144E6">
        <w:rPr>
          <w:lang w:val="en-GB"/>
        </w:rPr>
        <w:t xml:space="preserve"> with a </w:t>
      </w:r>
      <w:r w:rsidR="005747A4" w:rsidRPr="006144E6">
        <w:rPr>
          <w:lang w:val="en-GB"/>
        </w:rPr>
        <w:t>well-designed</w:t>
      </w:r>
      <w:r w:rsidRPr="006144E6">
        <w:rPr>
          <w:lang w:val="en-GB"/>
        </w:rPr>
        <w:t xml:space="preserve"> sample refresh.</w:t>
      </w:r>
    </w:p>
    <w:p w14:paraId="297381BB" w14:textId="77777777" w:rsidR="00313AD7" w:rsidRPr="006144E6" w:rsidRDefault="00313AD7" w:rsidP="0099678F">
      <w:pPr>
        <w:pStyle w:val="Heading2"/>
      </w:pPr>
      <w:r w:rsidRPr="006144E6">
        <w:t>Calculation of the index</w:t>
      </w:r>
    </w:p>
    <w:p w14:paraId="4F449DD4" w14:textId="77777777" w:rsidR="006F0336" w:rsidRPr="006144E6" w:rsidRDefault="006F0336" w:rsidP="006F0336">
      <w:pPr>
        <w:rPr>
          <w:lang w:val="en-GB"/>
        </w:rPr>
      </w:pPr>
      <w:proofErr w:type="spellStart"/>
      <w:r w:rsidRPr="006144E6">
        <w:rPr>
          <w:lang w:val="en-GB"/>
        </w:rPr>
        <w:t>Törnqvist</w:t>
      </w:r>
      <w:proofErr w:type="spellEnd"/>
      <w:r w:rsidRPr="006144E6">
        <w:rPr>
          <w:lang w:val="en-GB"/>
        </w:rPr>
        <w:t xml:space="preserve"> index formula </w:t>
      </w:r>
      <w:r w:rsidR="00785182">
        <w:rPr>
          <w:lang w:val="en-GB"/>
        </w:rPr>
        <w:t xml:space="preserve">(formula 1) </w:t>
      </w:r>
      <w:r w:rsidRPr="006144E6">
        <w:rPr>
          <w:lang w:val="en-GB"/>
        </w:rPr>
        <w:t xml:space="preserve">is used at the lower aggregation levels and a matched sample model with the smallest aggregate being the item itself, i.e. changes in hourly wage for a given set of working hours within a given occupation and given economic activity. </w:t>
      </w:r>
    </w:p>
    <w:p w14:paraId="16679F04" w14:textId="77777777" w:rsidR="006F0336" w:rsidRPr="006144E6" w:rsidRDefault="00394CE2" w:rsidP="006F0336">
      <w:pPr>
        <w:spacing w:after="120"/>
        <w:jc w:val="right"/>
        <w:rPr>
          <w:rFonts w:eastAsiaTheme="minorEastAsia"/>
          <w:szCs w:val="24"/>
          <w:lang w:val="en-GB"/>
        </w:rPr>
      </w:pPr>
      <m:oMathPara>
        <m:oMath>
          <m:sSub>
            <m:sSubPr>
              <m:ctrlPr>
                <w:rPr>
                  <w:rFonts w:ascii="Cambria Math" w:hAnsi="Cambria Math"/>
                  <w:i/>
                  <w:szCs w:val="24"/>
                  <w:lang w:val="en-GB"/>
                </w:rPr>
              </m:ctrlPr>
            </m:sSubPr>
            <m:e>
              <m:r>
                <w:rPr>
                  <w:rFonts w:ascii="Cambria Math" w:hAnsi="Cambria Math"/>
                  <w:szCs w:val="24"/>
                  <w:lang w:val="en-GB"/>
                </w:rPr>
                <m:t>I</m:t>
              </m:r>
            </m:e>
            <m:sub>
              <m:r>
                <w:rPr>
                  <w:rFonts w:ascii="Cambria Math" w:hAnsi="Cambria Math"/>
                  <w:szCs w:val="24"/>
                  <w:lang w:val="en-GB"/>
                </w:rPr>
                <m:t>a</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r>
            <w:rPr>
              <w:rFonts w:ascii="Cambria Math" w:hAnsi="Cambria Math"/>
              <w:szCs w:val="24"/>
              <w:lang w:val="en-GB"/>
            </w:rPr>
            <m:t>,t)</m:t>
          </m:r>
          <m:r>
            <m:rPr>
              <m:aln/>
            </m:rPr>
            <w:rPr>
              <w:rFonts w:ascii="Cambria Math" w:hAnsi="Cambria Math"/>
              <w:szCs w:val="24"/>
              <w:lang w:val="en-GB"/>
            </w:rPr>
            <m:t>=</m:t>
          </m:r>
          <m:nary>
            <m:naryPr>
              <m:chr m:val="∏"/>
              <m:supHide m:val="1"/>
              <m:ctrlPr>
                <w:rPr>
                  <w:rFonts w:ascii="Cambria Math" w:hAnsi="Cambria Math"/>
                  <w:i/>
                  <w:szCs w:val="24"/>
                  <w:lang w:val="en-GB"/>
                </w:rPr>
              </m:ctrlPr>
            </m:naryPr>
            <m:sub>
              <m:r>
                <w:rPr>
                  <w:rFonts w:ascii="Cambria Math" w:hAnsi="Cambria Math"/>
                  <w:szCs w:val="24"/>
                  <w:lang w:val="en-GB"/>
                </w:rPr>
                <m:t>i</m:t>
              </m:r>
            </m:sub>
            <m:sup/>
            <m:e>
              <m:sSup>
                <m:sSupPr>
                  <m:ctrlPr>
                    <w:rPr>
                      <w:rFonts w:ascii="Cambria Math" w:hAnsi="Cambria Math"/>
                      <w:i/>
                      <w:szCs w:val="24"/>
                      <w:lang w:val="en-GB"/>
                    </w:rPr>
                  </m:ctrlPr>
                </m:sSupPr>
                <m:e>
                  <m:d>
                    <m:dPr>
                      <m:ctrlPr>
                        <w:rPr>
                          <w:rFonts w:ascii="Cambria Math" w:hAnsi="Cambria Math"/>
                          <w:i/>
                          <w:szCs w:val="24"/>
                          <w:lang w:val="en-GB"/>
                        </w:rPr>
                      </m:ctrlPr>
                    </m:dPr>
                    <m:e>
                      <m:f>
                        <m:fPr>
                          <m:ctrlPr>
                            <w:rPr>
                              <w:rFonts w:ascii="Cambria Math" w:hAnsi="Cambria Math"/>
                              <w:i/>
                              <w:szCs w:val="24"/>
                              <w:lang w:val="en-GB"/>
                            </w:rPr>
                          </m:ctrlPr>
                        </m:fPr>
                        <m:num>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i</m:t>
                              </m:r>
                            </m:sub>
                          </m:sSub>
                          <m:d>
                            <m:dPr>
                              <m:ctrlPr>
                                <w:rPr>
                                  <w:rFonts w:ascii="Cambria Math" w:hAnsi="Cambria Math"/>
                                  <w:i/>
                                  <w:szCs w:val="24"/>
                                  <w:lang w:val="en-GB"/>
                                </w:rPr>
                              </m:ctrlPr>
                            </m:dPr>
                            <m:e>
                              <m:r>
                                <w:rPr>
                                  <w:rFonts w:ascii="Cambria Math" w:hAnsi="Cambria Math"/>
                                  <w:szCs w:val="24"/>
                                  <w:lang w:val="en-GB"/>
                                </w:rPr>
                                <m:t>t</m:t>
                              </m:r>
                            </m:e>
                          </m:d>
                        </m:num>
                        <m:den>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i</m:t>
                              </m:r>
                            </m:sub>
                          </m:sSub>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e>
                          </m:d>
                        </m:den>
                      </m:f>
                    </m:e>
                  </m:d>
                </m:e>
                <m:sup>
                  <m:r>
                    <w:rPr>
                      <w:rFonts w:ascii="Cambria Math" w:hAnsi="Cambria Math"/>
                      <w:szCs w:val="24"/>
                      <w:lang w:val="en-GB"/>
                    </w:rPr>
                    <m:t xml:space="preserve"> </m:t>
                  </m:r>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i</m:t>
                          </m:r>
                        </m:sub>
                      </m:sSub>
                      <m:r>
                        <w:rPr>
                          <w:rFonts w:ascii="Cambria Math" w:hAnsi="Cambria Math"/>
                          <w:szCs w:val="24"/>
                          <w:lang w:val="en-GB"/>
                        </w:rPr>
                        <m:t>(t)+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i</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r>
                        <w:rPr>
                          <w:rFonts w:ascii="Cambria Math" w:hAnsi="Cambria Math"/>
                          <w:szCs w:val="24"/>
                          <w:lang w:val="en-GB"/>
                        </w:rPr>
                        <m:t>)</m:t>
                      </m:r>
                    </m:e>
                  </m:d>
                </m:sup>
              </m:sSup>
            </m:e>
          </m:nary>
          <m:r>
            <w:rPr>
              <w:rFonts w:ascii="Cambria Math" w:hAnsi="Cambria Math"/>
              <w:szCs w:val="24"/>
              <w:lang w:val="en-GB"/>
            </w:rPr>
            <m:t xml:space="preserve">  </m:t>
          </m:r>
          <m:r>
            <m:rPr>
              <m:sty m:val="p"/>
            </m:rPr>
            <w:rPr>
              <w:rFonts w:ascii="Cambria Math" w:eastAsiaTheme="minorEastAsia" w:hAnsi="Cambria Math"/>
              <w:szCs w:val="24"/>
              <w:lang w:val="en-GB"/>
            </w:rPr>
            <w:br/>
          </m:r>
        </m:oMath>
      </m:oMathPara>
      <w:r w:rsidR="006F0336" w:rsidRPr="006144E6">
        <w:rPr>
          <w:rFonts w:eastAsiaTheme="minorEastAsia"/>
          <w:szCs w:val="24"/>
          <w:lang w:val="en-GB"/>
        </w:rPr>
        <w:t>(1)</w:t>
      </w:r>
    </w:p>
    <w:p w14:paraId="204C1D7E" w14:textId="77777777" w:rsidR="006F0336" w:rsidRPr="006144E6" w:rsidRDefault="006F0336" w:rsidP="005747A4">
      <w:pPr>
        <w:spacing w:after="120"/>
        <w:jc w:val="left"/>
        <w:rPr>
          <w:rFonts w:eastAsiaTheme="minorEastAsia"/>
          <w:szCs w:val="24"/>
          <w:lang w:val="en-GB"/>
        </w:rPr>
      </w:pPr>
      <w:proofErr w:type="gramStart"/>
      <w:r w:rsidRPr="006144E6">
        <w:rPr>
          <w:szCs w:val="24"/>
          <w:lang w:val="en-GB"/>
        </w:rPr>
        <w:t>where</w:t>
      </w:r>
      <w:proofErr w:type="gramEnd"/>
      <w:r w:rsidRPr="006144E6">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i</m:t>
            </m:r>
          </m:sub>
        </m:sSub>
        <m:r>
          <w:rPr>
            <w:rFonts w:ascii="Cambria Math" w:hAnsi="Cambria Math"/>
            <w:szCs w:val="24"/>
            <w:lang w:val="en-GB"/>
          </w:rPr>
          <m:t xml:space="preserve">(τ)= </m:t>
        </m:r>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i</m:t>
            </m:r>
          </m:sub>
        </m:sSub>
        <m:r>
          <w:rPr>
            <w:rFonts w:ascii="Cambria Math" w:hAnsi="Cambria Math"/>
            <w:szCs w:val="24"/>
            <w:lang w:val="en-GB"/>
          </w:rPr>
          <m:t xml:space="preserve"> (τ)</m:t>
        </m:r>
        <m:sSub>
          <m:sSubPr>
            <m:ctrlPr>
              <w:rPr>
                <w:rFonts w:ascii="Cambria Math" w:hAnsi="Cambria Math"/>
                <w:i/>
                <w:szCs w:val="24"/>
                <w:lang w:val="en-GB"/>
              </w:rPr>
            </m:ctrlPr>
          </m:sSubPr>
          <m:e>
            <m:r>
              <w:rPr>
                <w:rFonts w:ascii="Cambria Math" w:hAnsi="Cambria Math"/>
                <w:szCs w:val="24"/>
                <w:lang w:val="en-GB"/>
              </w:rPr>
              <m:t>q</m:t>
            </m:r>
          </m:e>
          <m:sub>
            <m:r>
              <w:rPr>
                <w:rFonts w:ascii="Cambria Math" w:hAnsi="Cambria Math"/>
                <w:szCs w:val="24"/>
                <w:lang w:val="en-GB"/>
              </w:rPr>
              <m:t>i</m:t>
            </m:r>
          </m:sub>
        </m:sSub>
        <m:r>
          <w:rPr>
            <w:rFonts w:ascii="Cambria Math" w:hAnsi="Cambria Math"/>
            <w:szCs w:val="24"/>
            <w:lang w:val="en-GB"/>
          </w:rPr>
          <m:t>(τ)/(</m:t>
        </m:r>
        <m:nary>
          <m:naryPr>
            <m:chr m:val="∑"/>
            <m:supHide m:val="1"/>
            <m:ctrlPr>
              <w:rPr>
                <w:rFonts w:ascii="Cambria Math" w:hAnsi="Cambria Math"/>
                <w:i/>
                <w:szCs w:val="24"/>
                <w:lang w:val="en-GB"/>
              </w:rPr>
            </m:ctrlPr>
          </m:naryPr>
          <m:sub>
            <m:r>
              <w:rPr>
                <w:rFonts w:ascii="Cambria Math" w:hAnsi="Cambria Math"/>
                <w:szCs w:val="24"/>
                <w:lang w:val="en-GB"/>
              </w:rPr>
              <m:t>j</m:t>
            </m:r>
          </m:sub>
          <m:sup/>
          <m:e>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j</m:t>
                </m:r>
              </m:sub>
            </m:sSub>
            <m:r>
              <w:rPr>
                <w:rFonts w:ascii="Cambria Math" w:hAnsi="Cambria Math"/>
                <w:szCs w:val="24"/>
                <w:lang w:val="en-GB"/>
              </w:rPr>
              <m:t xml:space="preserve">(τ) </m:t>
            </m:r>
            <m:sSub>
              <m:sSubPr>
                <m:ctrlPr>
                  <w:rPr>
                    <w:rFonts w:ascii="Cambria Math" w:hAnsi="Cambria Math"/>
                    <w:i/>
                    <w:szCs w:val="24"/>
                    <w:lang w:val="en-GB"/>
                  </w:rPr>
                </m:ctrlPr>
              </m:sSubPr>
              <m:e>
                <m:r>
                  <w:rPr>
                    <w:rFonts w:ascii="Cambria Math" w:hAnsi="Cambria Math"/>
                    <w:szCs w:val="24"/>
                    <w:lang w:val="en-GB"/>
                  </w:rPr>
                  <m:t>q</m:t>
                </m:r>
              </m:e>
              <m:sub>
                <m:r>
                  <w:rPr>
                    <w:rFonts w:ascii="Cambria Math" w:hAnsi="Cambria Math"/>
                    <w:szCs w:val="24"/>
                    <w:lang w:val="en-GB"/>
                  </w:rPr>
                  <m:t>j</m:t>
                </m:r>
              </m:sub>
            </m:sSub>
            <m:r>
              <w:rPr>
                <w:rFonts w:ascii="Cambria Math" w:hAnsi="Cambria Math"/>
                <w:szCs w:val="24"/>
                <w:lang w:val="en-GB"/>
              </w:rPr>
              <m:t>(τ)</m:t>
            </m:r>
          </m:e>
        </m:nary>
        <m:r>
          <w:rPr>
            <w:rFonts w:ascii="Cambria Math" w:hAnsi="Cambria Math"/>
            <w:szCs w:val="24"/>
            <w:lang w:val="en-GB"/>
          </w:rPr>
          <m:t xml:space="preserve"> )</m:t>
        </m:r>
      </m:oMath>
      <w:r w:rsidRPr="006144E6">
        <w:rPr>
          <w:rFonts w:eastAsiaTheme="minorEastAsia"/>
          <w:szCs w:val="24"/>
          <w:lang w:val="en-GB"/>
        </w:rPr>
        <w:t xml:space="preserve"> , </w:t>
      </w:r>
      <m:oMath>
        <m:r>
          <w:rPr>
            <w:rFonts w:ascii="Cambria Math" w:eastAsiaTheme="minorEastAsia" w:hAnsi="Cambria Math"/>
            <w:szCs w:val="24"/>
            <w:lang w:val="en-GB"/>
          </w:rPr>
          <m:t xml:space="preserve">τ= t, </m:t>
        </m:r>
        <m:sSub>
          <m:sSubPr>
            <m:ctrlPr>
              <w:rPr>
                <w:rFonts w:ascii="Cambria Math" w:eastAsiaTheme="minorEastAsia" w:hAnsi="Cambria Math"/>
                <w:i/>
                <w:szCs w:val="24"/>
                <w:lang w:val="en-GB"/>
              </w:rPr>
            </m:ctrlPr>
          </m:sSubPr>
          <m:e>
            <m:r>
              <w:rPr>
                <w:rFonts w:ascii="Cambria Math" w:eastAsiaTheme="minorEastAsia" w:hAnsi="Cambria Math"/>
                <w:szCs w:val="24"/>
                <w:lang w:val="en-GB"/>
              </w:rPr>
              <m:t>t</m:t>
            </m:r>
          </m:e>
          <m:sub>
            <m:r>
              <w:rPr>
                <w:rFonts w:ascii="Cambria Math" w:eastAsiaTheme="minorEastAsia" w:hAnsi="Cambria Math"/>
                <w:szCs w:val="24"/>
                <w:lang w:val="en-GB"/>
              </w:rPr>
              <m:t>0</m:t>
            </m:r>
          </m:sub>
        </m:sSub>
      </m:oMath>
      <w:r w:rsidRPr="006144E6">
        <w:rPr>
          <w:rFonts w:eastAsiaTheme="minorEastAsia"/>
          <w:szCs w:val="24"/>
          <w:lang w:val="en-GB"/>
        </w:rPr>
        <w:t xml:space="preserve"> </w:t>
      </w:r>
      <w:r w:rsidRPr="006144E6">
        <w:rPr>
          <w:szCs w:val="24"/>
          <w:lang w:val="en-GB"/>
        </w:rPr>
        <w:t xml:space="preserve">and </w:t>
      </w:r>
      <m:oMath>
        <m:r>
          <w:rPr>
            <w:rFonts w:ascii="Cambria Math" w:hAnsi="Cambria Math"/>
            <w:szCs w:val="24"/>
            <w:lang w:val="en-GB"/>
          </w:rPr>
          <m:t>i,j</m:t>
        </m:r>
      </m:oMath>
      <w:r w:rsidRPr="006144E6">
        <w:rPr>
          <w:szCs w:val="24"/>
          <w:lang w:val="en-GB"/>
        </w:rPr>
        <w:t xml:space="preserve"> are denoting items in any cell</w:t>
      </w:r>
      <m:oMath>
        <m:r>
          <w:rPr>
            <w:rFonts w:ascii="Cambria Math" w:hAnsi="Cambria Math"/>
            <w:szCs w:val="24"/>
            <w:lang w:val="en-GB"/>
          </w:rPr>
          <m:t xml:space="preserve"> a</m:t>
        </m:r>
      </m:oMath>
      <w:r w:rsidRPr="006144E6">
        <w:rPr>
          <w:szCs w:val="24"/>
          <w:lang w:val="en-GB"/>
        </w:rPr>
        <w:t>.</w:t>
      </w:r>
    </w:p>
    <w:p w14:paraId="231437BA" w14:textId="333FC45D" w:rsidR="006F0336" w:rsidRPr="006144E6" w:rsidRDefault="006F0336" w:rsidP="006F0336">
      <w:pPr>
        <w:rPr>
          <w:lang w:val="en-GB"/>
        </w:rPr>
      </w:pPr>
      <w:r w:rsidRPr="006144E6">
        <w:rPr>
          <w:lang w:val="en-GB"/>
        </w:rPr>
        <w:t xml:space="preserve">At top-level the </w:t>
      </w:r>
      <w:r w:rsidR="005747A4" w:rsidRPr="006144E6">
        <w:rPr>
          <w:lang w:val="en-GB"/>
        </w:rPr>
        <w:t>sub-indices</w:t>
      </w:r>
      <w:r w:rsidR="00313AD7" w:rsidRPr="006144E6">
        <w:rPr>
          <w:lang w:val="en-GB"/>
        </w:rPr>
        <w:t xml:space="preserve"> defined by cells (for occupation</w:t>
      </w:r>
      <w:r w:rsidR="005747A4">
        <w:rPr>
          <w:lang w:val="en-GB"/>
        </w:rPr>
        <w:t xml:space="preserve"> </w:t>
      </w:r>
      <w:r w:rsidR="00313AD7" w:rsidRPr="006144E6">
        <w:rPr>
          <w:lang w:val="en-GB"/>
        </w:rPr>
        <w:t>+</w:t>
      </w:r>
      <w:r w:rsidR="005747A4">
        <w:rPr>
          <w:lang w:val="en-GB"/>
        </w:rPr>
        <w:t xml:space="preserve"> </w:t>
      </w:r>
      <w:r w:rsidR="00313AD7" w:rsidRPr="006144E6">
        <w:rPr>
          <w:lang w:val="en-GB"/>
        </w:rPr>
        <w:t xml:space="preserve">economic </w:t>
      </w:r>
      <w:r w:rsidR="005747A4" w:rsidRPr="006144E6">
        <w:rPr>
          <w:lang w:val="en-GB"/>
        </w:rPr>
        <w:t>activity</w:t>
      </w:r>
      <w:r w:rsidR="00313AD7" w:rsidRPr="006144E6">
        <w:rPr>
          <w:lang w:val="en-GB"/>
        </w:rPr>
        <w:t xml:space="preserve"> in private sector and federation of trade unions in public sector)</w:t>
      </w:r>
      <w:r w:rsidRPr="006144E6">
        <w:rPr>
          <w:lang w:val="en-GB"/>
        </w:rPr>
        <w:t xml:space="preserve"> are aggregated according to </w:t>
      </w:r>
      <w:proofErr w:type="spellStart"/>
      <w:r w:rsidRPr="006144E6">
        <w:rPr>
          <w:lang w:val="en-GB"/>
        </w:rPr>
        <w:t>Laspeyres</w:t>
      </w:r>
      <w:proofErr w:type="spellEnd"/>
      <w:r w:rsidRPr="006144E6">
        <w:rPr>
          <w:lang w:val="en-GB"/>
        </w:rPr>
        <w:t>' formula since weights at this level are updated once a year</w:t>
      </w:r>
      <w:r w:rsidR="00785182">
        <w:rPr>
          <w:lang w:val="en-GB"/>
        </w:rPr>
        <w:t xml:space="preserve"> (formula 2)</w:t>
      </w:r>
      <w:r w:rsidRPr="006144E6">
        <w:rPr>
          <w:lang w:val="en-GB"/>
        </w:rPr>
        <w:t xml:space="preserve">. Each </w:t>
      </w:r>
      <w:r w:rsidR="005747A4" w:rsidRPr="006144E6">
        <w:rPr>
          <w:lang w:val="en-GB"/>
        </w:rPr>
        <w:t xml:space="preserve">cell </w:t>
      </w:r>
      <w:proofErr w:type="gramStart"/>
      <w:r w:rsidR="005747A4" w:rsidRPr="006144E6">
        <w:rPr>
          <w:lang w:val="en-GB"/>
        </w:rPr>
        <w:t>is</w:t>
      </w:r>
      <w:r w:rsidRPr="006144E6">
        <w:rPr>
          <w:lang w:val="en-GB"/>
        </w:rPr>
        <w:t xml:space="preserve"> given</w:t>
      </w:r>
      <w:proofErr w:type="gramEnd"/>
      <w:r w:rsidRPr="006144E6">
        <w:rPr>
          <w:lang w:val="en-GB"/>
        </w:rPr>
        <w:t xml:space="preserve"> a weight based on their share in total wages. Weights </w:t>
      </w:r>
      <w:proofErr w:type="gramStart"/>
      <w:r w:rsidRPr="006144E6">
        <w:rPr>
          <w:lang w:val="en-GB"/>
        </w:rPr>
        <w:t>are discussed</w:t>
      </w:r>
      <w:proofErr w:type="gramEnd"/>
      <w:r w:rsidRPr="006144E6">
        <w:rPr>
          <w:lang w:val="en-GB"/>
        </w:rPr>
        <w:t xml:space="preserve"> in detail below. </w:t>
      </w:r>
    </w:p>
    <w:p w14:paraId="59AAA2F3" w14:textId="77777777" w:rsidR="006F0336" w:rsidRPr="006144E6" w:rsidRDefault="006F0336" w:rsidP="006F0336">
      <w:pPr>
        <w:jc w:val="center"/>
        <w:rPr>
          <w:rFonts w:eastAsiaTheme="minorEastAsia"/>
          <w:szCs w:val="24"/>
          <w:lang w:val="en-GB"/>
        </w:rPr>
      </w:pPr>
      <m:oMathPara>
        <m:oMath>
          <m:r>
            <w:rPr>
              <w:rFonts w:ascii="Cambria Math" w:hAnsi="Cambria Math"/>
              <w:szCs w:val="24"/>
              <w:lang w:val="en-GB"/>
            </w:rPr>
            <m:t>I(</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r>
            <w:rPr>
              <w:rFonts w:ascii="Cambria Math" w:hAnsi="Cambria Math"/>
              <w:szCs w:val="24"/>
              <w:lang w:val="en-GB"/>
            </w:rPr>
            <m:t>,t)=</m:t>
          </m:r>
          <m:nary>
            <m:naryPr>
              <m:chr m:val="∑"/>
              <m:limLoc m:val="undOvr"/>
              <m:supHide m:val="1"/>
              <m:ctrlPr>
                <w:rPr>
                  <w:rFonts w:ascii="Cambria Math" w:hAnsi="Cambria Math"/>
                  <w:i/>
                  <w:szCs w:val="24"/>
                  <w:lang w:val="en-GB"/>
                </w:rPr>
              </m:ctrlPr>
            </m:naryPr>
            <m:sub>
              <m:r>
                <w:rPr>
                  <w:rFonts w:ascii="Cambria Math" w:hAnsi="Cambria Math"/>
                  <w:szCs w:val="24"/>
                  <w:lang w:val="en-GB"/>
                </w:rPr>
                <m:t>a</m:t>
              </m:r>
            </m:sub>
            <m:sup/>
            <m:e>
              <m:sSub>
                <m:sSubPr>
                  <m:ctrlPr>
                    <w:rPr>
                      <w:rFonts w:ascii="Cambria Math" w:hAnsi="Cambria Math"/>
                      <w:i/>
                      <w:szCs w:val="24"/>
                      <w:lang w:val="en-GB"/>
                    </w:rPr>
                  </m:ctrlPr>
                </m:sSub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a</m:t>
                      </m:r>
                    </m:sub>
                  </m:sSub>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e>
                  </m:d>
                  <m:r>
                    <w:rPr>
                      <w:rFonts w:ascii="Cambria Math" w:hAnsi="Cambria Math"/>
                      <w:szCs w:val="24"/>
                      <w:lang w:val="en-GB"/>
                    </w:rPr>
                    <m:t>I</m:t>
                  </m:r>
                </m:e>
                <m:sub>
                  <m:r>
                    <w:rPr>
                      <w:rFonts w:ascii="Cambria Math" w:hAnsi="Cambria Math"/>
                      <w:szCs w:val="24"/>
                      <w:lang w:val="en-GB"/>
                    </w:rPr>
                    <m:t>a</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r>
                <w:rPr>
                  <w:rFonts w:ascii="Cambria Math" w:hAnsi="Cambria Math"/>
                  <w:szCs w:val="24"/>
                  <w:lang w:val="en-GB"/>
                </w:rPr>
                <m:t>,t)</m:t>
              </m:r>
            </m:e>
          </m:nary>
        </m:oMath>
      </m:oMathPara>
    </w:p>
    <w:p w14:paraId="023A2FF4" w14:textId="77777777" w:rsidR="006F0336" w:rsidRPr="006144E6" w:rsidRDefault="006F0336" w:rsidP="006F0336">
      <w:pPr>
        <w:jc w:val="right"/>
        <w:rPr>
          <w:lang w:val="en-GB"/>
        </w:rPr>
      </w:pPr>
      <w:r w:rsidRPr="006144E6">
        <w:rPr>
          <w:lang w:val="en-GB"/>
        </w:rPr>
        <w:t>(2)</w:t>
      </w:r>
    </w:p>
    <w:p w14:paraId="0D4E57CB" w14:textId="77777777" w:rsidR="006F0336" w:rsidRPr="006144E6" w:rsidRDefault="006F0336" w:rsidP="006F0336">
      <w:pPr>
        <w:rPr>
          <w:lang w:val="en-GB"/>
        </w:rPr>
      </w:pPr>
      <w:proofErr w:type="gramStart"/>
      <w:r w:rsidRPr="006144E6">
        <w:rPr>
          <w:rFonts w:eastAsiaTheme="minorEastAsia"/>
          <w:szCs w:val="24"/>
          <w:lang w:val="en-GB"/>
        </w:rPr>
        <w:t>here</w:t>
      </w:r>
      <w:proofErr w:type="gramEnd"/>
      <w:r w:rsidRPr="006144E6">
        <w:rPr>
          <w:rFonts w:eastAsiaTheme="minorEastAsia"/>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a</m:t>
            </m:r>
          </m:sub>
        </m:sSub>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0</m:t>
                </m:r>
              </m:sub>
            </m:sSub>
          </m:e>
        </m:d>
      </m:oMath>
      <w:r w:rsidRPr="006144E6">
        <w:rPr>
          <w:rFonts w:eastAsiaTheme="minorEastAsia"/>
          <w:szCs w:val="24"/>
          <w:lang w:val="en-GB"/>
        </w:rPr>
        <w:t xml:space="preserve"> are the expenditure weights</w:t>
      </w:r>
      <w:r w:rsidRPr="006144E6">
        <w:rPr>
          <w:rStyle w:val="FootnoteReference"/>
          <w:rFonts w:eastAsiaTheme="minorEastAsia"/>
          <w:szCs w:val="24"/>
          <w:lang w:val="en-GB"/>
        </w:rPr>
        <w:footnoteReference w:id="5"/>
      </w:r>
      <w:r w:rsidRPr="006144E6">
        <w:rPr>
          <w:rFonts w:eastAsiaTheme="minorEastAsia"/>
          <w:szCs w:val="24"/>
          <w:lang w:val="en-GB"/>
        </w:rPr>
        <w:t xml:space="preserve"> of the sub-aggregates </w:t>
      </w:r>
      <m:oMath>
        <m:r>
          <w:rPr>
            <w:rFonts w:ascii="Cambria Math" w:eastAsiaTheme="minorEastAsia" w:hAnsi="Cambria Math"/>
            <w:szCs w:val="24"/>
            <w:lang w:val="en-GB"/>
          </w:rPr>
          <m:t>a</m:t>
        </m:r>
      </m:oMath>
      <w:r w:rsidRPr="006144E6">
        <w:rPr>
          <w:rFonts w:eastAsiaTheme="minorEastAsia"/>
          <w:szCs w:val="24"/>
          <w:lang w:val="en-GB"/>
        </w:rPr>
        <w:t xml:space="preserve"> which have indices</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 xml:space="preserve"> I</m:t>
            </m:r>
          </m:e>
          <m:sub>
            <m:r>
              <w:rPr>
                <w:rFonts w:ascii="Cambria Math" w:eastAsiaTheme="minorEastAsia" w:hAnsi="Cambria Math"/>
                <w:szCs w:val="24"/>
                <w:lang w:val="en-GB"/>
              </w:rPr>
              <m:t>a</m:t>
            </m:r>
          </m:sub>
        </m:sSub>
      </m:oMath>
      <w:r w:rsidRPr="006144E6">
        <w:rPr>
          <w:rFonts w:eastAsiaTheme="minorEastAsia"/>
          <w:szCs w:val="24"/>
          <w:lang w:val="en-GB"/>
        </w:rPr>
        <w:t>, calculated at time</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 xml:space="preserve"> t</m:t>
            </m:r>
          </m:e>
          <m:sub>
            <m:r>
              <w:rPr>
                <w:rFonts w:ascii="Cambria Math" w:eastAsiaTheme="minorEastAsia" w:hAnsi="Cambria Math"/>
                <w:szCs w:val="24"/>
                <w:lang w:val="en-GB"/>
              </w:rPr>
              <m:t>0</m:t>
            </m:r>
          </m:sub>
        </m:sSub>
      </m:oMath>
      <w:r w:rsidRPr="006144E6">
        <w:rPr>
          <w:rFonts w:eastAsiaTheme="minorEastAsia"/>
          <w:szCs w:val="24"/>
          <w:lang w:val="en-GB"/>
        </w:rPr>
        <w:t>, and in the IWPI case these are the cell (and higher level) weights, updated once a year.</w:t>
      </w:r>
    </w:p>
    <w:p w14:paraId="118ACA69" w14:textId="77777777" w:rsidR="006F0336" w:rsidRPr="006144E6" w:rsidRDefault="006F0336" w:rsidP="0099678F">
      <w:pPr>
        <w:pStyle w:val="Heading2"/>
      </w:pPr>
      <w:r w:rsidRPr="006144E6">
        <w:lastRenderedPageBreak/>
        <w:t xml:space="preserve">Weights </w:t>
      </w:r>
    </w:p>
    <w:p w14:paraId="1483E971" w14:textId="77777777" w:rsidR="006F0336" w:rsidRPr="006144E6" w:rsidRDefault="006F0336" w:rsidP="006F0336">
      <w:pPr>
        <w:rPr>
          <w:lang w:val="en-GB"/>
        </w:rPr>
      </w:pPr>
      <w:r w:rsidRPr="006144E6">
        <w:rPr>
          <w:lang w:val="en-GB"/>
        </w:rPr>
        <w:t xml:space="preserve">The calculation of the IWPI involves a standard structure of expenditure </w:t>
      </w:r>
      <w:r w:rsidR="005747A4" w:rsidRPr="006144E6">
        <w:rPr>
          <w:lang w:val="en-GB"/>
        </w:rPr>
        <w:t>weights, which</w:t>
      </w:r>
      <w:r w:rsidRPr="006144E6">
        <w:rPr>
          <w:lang w:val="en-GB"/>
        </w:rPr>
        <w:t xml:space="preserve"> </w:t>
      </w:r>
      <w:proofErr w:type="gramStart"/>
      <w:r w:rsidRPr="006144E6">
        <w:rPr>
          <w:lang w:val="en-GB"/>
        </w:rPr>
        <w:t>are calculated</w:t>
      </w:r>
      <w:proofErr w:type="gramEnd"/>
      <w:r w:rsidRPr="006144E6">
        <w:rPr>
          <w:lang w:val="en-GB"/>
        </w:rPr>
        <w:t xml:space="preserve"> for all sub-levels of the index that is for elementary aggregates, cell-aggregates and economic sectors. Weights </w:t>
      </w:r>
      <w:proofErr w:type="gramStart"/>
      <w:r w:rsidRPr="006144E6">
        <w:rPr>
          <w:lang w:val="en-GB"/>
        </w:rPr>
        <w:t>are revised</w:t>
      </w:r>
      <w:proofErr w:type="gramEnd"/>
      <w:r w:rsidRPr="006144E6">
        <w:rPr>
          <w:lang w:val="en-GB"/>
        </w:rPr>
        <w:t xml:space="preserve"> after the end of 1st quarter every year. </w:t>
      </w:r>
    </w:p>
    <w:p w14:paraId="239F4D56" w14:textId="77777777" w:rsidR="006F0336" w:rsidRPr="006144E6" w:rsidRDefault="006F0336" w:rsidP="006F0336">
      <w:pPr>
        <w:rPr>
          <w:lang w:val="en-GB"/>
        </w:rPr>
      </w:pPr>
      <w:r w:rsidRPr="006144E6">
        <w:rPr>
          <w:lang w:val="en-GB"/>
        </w:rPr>
        <w:t xml:space="preserve">An employer expenditure weight </w:t>
      </w:r>
      <w:proofErr w:type="gramStart"/>
      <w:r w:rsidRPr="006144E6">
        <w:rPr>
          <w:lang w:val="en-GB"/>
        </w:rPr>
        <w:t>is based</w:t>
      </w:r>
      <w:proofErr w:type="gramEnd"/>
      <w:r w:rsidRPr="006144E6">
        <w:rPr>
          <w:lang w:val="en-GB"/>
        </w:rPr>
        <w:t xml:space="preserve"> on the ISWEL sample design. In the private </w:t>
      </w:r>
      <w:r w:rsidR="00DC4BAC" w:rsidRPr="006144E6">
        <w:rPr>
          <w:lang w:val="en-GB"/>
        </w:rPr>
        <w:t>sector,</w:t>
      </w:r>
      <w:r w:rsidRPr="006144E6">
        <w:rPr>
          <w:lang w:val="en-GB"/>
        </w:rPr>
        <w:t xml:space="preserve"> the employers’ weight </w:t>
      </w:r>
      <w:proofErr w:type="gramStart"/>
      <w:r w:rsidRPr="006144E6">
        <w:rPr>
          <w:lang w:val="en-GB"/>
        </w:rPr>
        <w:t>is based</w:t>
      </w:r>
      <w:proofErr w:type="gramEnd"/>
      <w:r w:rsidRPr="006144E6">
        <w:rPr>
          <w:lang w:val="en-GB"/>
        </w:rPr>
        <w:t xml:space="preserve"> on the expenditure weight of the sample layer (NACE division and size). A comparable approach </w:t>
      </w:r>
      <w:proofErr w:type="gramStart"/>
      <w:r w:rsidRPr="006144E6">
        <w:rPr>
          <w:lang w:val="en-GB"/>
        </w:rPr>
        <w:t>is used</w:t>
      </w:r>
      <w:proofErr w:type="gramEnd"/>
      <w:r w:rsidRPr="006144E6">
        <w:rPr>
          <w:lang w:val="en-GB"/>
        </w:rPr>
        <w:t xml:space="preserve"> to determine the weights of the local government (sample of municipalities). All employers in the central government have the weight 1 as data on employees in the central government are close to census data. The employer expenditure </w:t>
      </w:r>
      <w:r w:rsidR="00313AD7" w:rsidRPr="006144E6">
        <w:rPr>
          <w:lang w:val="en-GB"/>
        </w:rPr>
        <w:t xml:space="preserve">weight </w:t>
      </w:r>
      <w:proofErr w:type="gramStart"/>
      <w:r w:rsidRPr="006144E6">
        <w:rPr>
          <w:lang w:val="en-GB"/>
        </w:rPr>
        <w:t>is fixed</w:t>
      </w:r>
      <w:proofErr w:type="gramEnd"/>
      <w:r w:rsidRPr="006144E6">
        <w:rPr>
          <w:lang w:val="en-GB"/>
        </w:rPr>
        <w:t xml:space="preserve"> yearly. </w:t>
      </w:r>
    </w:p>
    <w:p w14:paraId="31669DB1" w14:textId="79DA8D7C" w:rsidR="006F0336" w:rsidRPr="006144E6" w:rsidRDefault="006F0336" w:rsidP="006F0336">
      <w:pPr>
        <w:rPr>
          <w:lang w:val="en-GB"/>
        </w:rPr>
      </w:pPr>
      <w:r w:rsidRPr="006144E6">
        <w:rPr>
          <w:lang w:val="en-GB"/>
        </w:rPr>
        <w:t xml:space="preserve">Weights on the level of the elementary aggregates </w:t>
      </w:r>
      <w:proofErr w:type="gramStart"/>
      <w:r w:rsidRPr="006144E6">
        <w:rPr>
          <w:lang w:val="en-GB"/>
        </w:rPr>
        <w:t>are based</w:t>
      </w:r>
      <w:proofErr w:type="gramEnd"/>
      <w:r w:rsidRPr="006144E6">
        <w:rPr>
          <w:lang w:val="en-GB"/>
        </w:rPr>
        <w:t xml:space="preserve"> on a combination of the employers’ weight and the expenditure of an employee within a cell (defined by occupation and economic activity in the private sector and federation of trade unions in the public sector) in the ISWEL. In cases where weights </w:t>
      </w:r>
      <w:proofErr w:type="gramStart"/>
      <w:r w:rsidRPr="006144E6">
        <w:rPr>
          <w:lang w:val="en-GB"/>
        </w:rPr>
        <w:t>are based</w:t>
      </w:r>
      <w:proofErr w:type="gramEnd"/>
      <w:r w:rsidRPr="006144E6">
        <w:rPr>
          <w:lang w:val="en-GB"/>
        </w:rPr>
        <w:t xml:space="preserve"> on ISWEL data, other sources to estimate the population are not available. The expenditure for each employee is </w:t>
      </w:r>
      <w:r w:rsidR="004B615B">
        <w:rPr>
          <w:lang w:val="en-GB"/>
        </w:rPr>
        <w:t>determined</w:t>
      </w:r>
      <w:r w:rsidR="004B615B" w:rsidRPr="006144E6">
        <w:rPr>
          <w:lang w:val="en-GB"/>
        </w:rPr>
        <w:t xml:space="preserve"> </w:t>
      </w:r>
      <w:r w:rsidRPr="006144E6">
        <w:rPr>
          <w:lang w:val="en-GB"/>
        </w:rPr>
        <w:t xml:space="preserve">each time the index </w:t>
      </w:r>
      <w:proofErr w:type="gramStart"/>
      <w:r w:rsidRPr="006144E6">
        <w:rPr>
          <w:lang w:val="en-GB"/>
        </w:rPr>
        <w:t>is computed</w:t>
      </w:r>
      <w:proofErr w:type="gramEnd"/>
      <w:r w:rsidRPr="006144E6">
        <w:rPr>
          <w:lang w:val="en-GB"/>
        </w:rPr>
        <w:t xml:space="preserve">. </w:t>
      </w:r>
    </w:p>
    <w:p w14:paraId="48BC6F65" w14:textId="77777777" w:rsidR="006F0336" w:rsidRPr="006144E6" w:rsidRDefault="006F0336" w:rsidP="006F0336">
      <w:pPr>
        <w:rPr>
          <w:lang w:val="en-GB"/>
        </w:rPr>
      </w:pPr>
      <w:r w:rsidRPr="006144E6">
        <w:rPr>
          <w:lang w:val="en-GB"/>
        </w:rPr>
        <w:t xml:space="preserve">Expenditure weights for cells (defined by occupation and economic activity) in the private sector are based on the expenditure of the economic activity, including employer with less than 10 employees, in the PAYE data and the expenditure of occupational groups in the ISWEL data. In the public </w:t>
      </w:r>
      <w:r w:rsidR="00DC4BAC">
        <w:rPr>
          <w:lang w:val="en-GB"/>
        </w:rPr>
        <w:t>sector</w:t>
      </w:r>
      <w:r w:rsidR="00DC4BAC" w:rsidRPr="006144E6">
        <w:rPr>
          <w:lang w:val="en-GB"/>
        </w:rPr>
        <w:t>,</w:t>
      </w:r>
      <w:r w:rsidRPr="006144E6">
        <w:rPr>
          <w:lang w:val="en-GB"/>
        </w:rPr>
        <w:t xml:space="preserve"> the weights for cells (defined by federation of trade unions) </w:t>
      </w:r>
      <w:proofErr w:type="gramStart"/>
      <w:r w:rsidRPr="006144E6">
        <w:rPr>
          <w:lang w:val="en-GB"/>
        </w:rPr>
        <w:t>are based</w:t>
      </w:r>
      <w:proofErr w:type="gramEnd"/>
      <w:r w:rsidRPr="006144E6">
        <w:rPr>
          <w:lang w:val="en-GB"/>
        </w:rPr>
        <w:t xml:space="preserve"> on the ISWEL data. The cell expenditure weights </w:t>
      </w:r>
      <w:proofErr w:type="gramStart"/>
      <w:r w:rsidRPr="006144E6">
        <w:rPr>
          <w:lang w:val="en-GB"/>
        </w:rPr>
        <w:t>are fixed</w:t>
      </w:r>
      <w:proofErr w:type="gramEnd"/>
      <w:r w:rsidRPr="006144E6">
        <w:rPr>
          <w:lang w:val="en-GB"/>
        </w:rPr>
        <w:t xml:space="preserve"> yearly. </w:t>
      </w:r>
    </w:p>
    <w:p w14:paraId="000A60F5" w14:textId="77777777" w:rsidR="006F0336" w:rsidRPr="006144E6" w:rsidRDefault="006F0336" w:rsidP="006F0336">
      <w:pPr>
        <w:rPr>
          <w:lang w:val="en-GB"/>
        </w:rPr>
      </w:pPr>
      <w:r w:rsidRPr="006144E6">
        <w:rPr>
          <w:lang w:val="en-GB"/>
        </w:rPr>
        <w:t xml:space="preserve">Expenditure weights for economic sectors </w:t>
      </w:r>
      <w:proofErr w:type="gramStart"/>
      <w:r w:rsidRPr="006144E6">
        <w:rPr>
          <w:lang w:val="en-GB"/>
        </w:rPr>
        <w:t>are based</w:t>
      </w:r>
      <w:proofErr w:type="gramEnd"/>
      <w:r w:rsidRPr="006144E6">
        <w:rPr>
          <w:lang w:val="en-GB"/>
        </w:rPr>
        <w:t xml:space="preserve"> on the total expenditure, including employer with less than 10 employees, in the PAYE data. The sector expenditure weights </w:t>
      </w:r>
      <w:proofErr w:type="gramStart"/>
      <w:r w:rsidRPr="006144E6">
        <w:rPr>
          <w:lang w:val="en-GB"/>
        </w:rPr>
        <w:t>are fixed</w:t>
      </w:r>
      <w:proofErr w:type="gramEnd"/>
      <w:r w:rsidRPr="006144E6">
        <w:rPr>
          <w:lang w:val="en-GB"/>
        </w:rPr>
        <w:t xml:space="preserve"> yearly</w:t>
      </w:r>
    </w:p>
    <w:p w14:paraId="293637F9" w14:textId="77777777" w:rsidR="006F0336" w:rsidRPr="006144E6" w:rsidRDefault="006F0336" w:rsidP="0099678F">
      <w:pPr>
        <w:pStyle w:val="Heading2"/>
      </w:pPr>
      <w:r w:rsidRPr="006144E6">
        <w:t xml:space="preserve">Re-adjustments  </w:t>
      </w:r>
    </w:p>
    <w:p w14:paraId="200E224D" w14:textId="77777777" w:rsidR="008A44A9" w:rsidRPr="000930A7" w:rsidRDefault="006F0336" w:rsidP="00D22DEC">
      <w:pPr>
        <w:rPr>
          <w:lang w:val="en-GB"/>
        </w:rPr>
      </w:pPr>
      <w:r w:rsidRPr="006144E6">
        <w:rPr>
          <w:lang w:val="en-GB"/>
        </w:rPr>
        <w:t xml:space="preserve">No preliminary data </w:t>
      </w:r>
      <w:proofErr w:type="gramStart"/>
      <w:r w:rsidRPr="006144E6">
        <w:rPr>
          <w:lang w:val="en-GB"/>
        </w:rPr>
        <w:t>are published</w:t>
      </w:r>
      <w:proofErr w:type="gramEnd"/>
      <w:r w:rsidRPr="006144E6">
        <w:rPr>
          <w:lang w:val="en-GB"/>
        </w:rPr>
        <w:t xml:space="preserve"> for the total index of IWPI and an already published value of the index is not subjected to revision. Nevertheless, in light of the strict demand for timeliness some retrospective corrections or necessary readjustments </w:t>
      </w:r>
      <w:proofErr w:type="gramStart"/>
      <w:r w:rsidRPr="006144E6">
        <w:rPr>
          <w:lang w:val="en-GB"/>
        </w:rPr>
        <w:t>are made</w:t>
      </w:r>
      <w:proofErr w:type="gramEnd"/>
      <w:r w:rsidRPr="006144E6">
        <w:rPr>
          <w:lang w:val="en-GB"/>
        </w:rPr>
        <w:t xml:space="preserve"> each month in order to compensate for data delays and data errors. After the first </w:t>
      </w:r>
      <w:r w:rsidRPr="006144E6">
        <w:rPr>
          <w:lang w:val="en-GB"/>
        </w:rPr>
        <w:lastRenderedPageBreak/>
        <w:t xml:space="preserve">calculation for a given month (T), that given month is revised twice (in months T+1 and T+2) and those revisions contribute to the index value for latest months (T+2). </w:t>
      </w:r>
    </w:p>
    <w:p w14:paraId="5946B917" w14:textId="5E8A7269" w:rsidR="00313AD7" w:rsidRPr="006144E6" w:rsidRDefault="006557EF" w:rsidP="0099678F">
      <w:pPr>
        <w:pStyle w:val="Heading2"/>
      </w:pPr>
      <w:r w:rsidRPr="006144E6">
        <w:t>Assessment</w:t>
      </w:r>
      <w:r w:rsidR="00BF10B0">
        <w:t xml:space="preserve"> of m</w:t>
      </w:r>
      <w:r w:rsidR="0099678F">
        <w:t>ethods</w:t>
      </w:r>
    </w:p>
    <w:p w14:paraId="09378E63" w14:textId="77777777" w:rsidR="006F0336" w:rsidRPr="006144E6" w:rsidRDefault="006557EF" w:rsidP="00596408">
      <w:pPr>
        <w:rPr>
          <w:lang w:val="en-GB"/>
        </w:rPr>
      </w:pPr>
      <w:r w:rsidRPr="006144E6">
        <w:rPr>
          <w:lang w:val="en-GB"/>
        </w:rPr>
        <w:t>Both the internal review (</w:t>
      </w:r>
      <w:r w:rsidR="00DC4BAC" w:rsidRPr="006144E6">
        <w:rPr>
          <w:lang w:val="en-GB"/>
        </w:rPr>
        <w:t>Statistics</w:t>
      </w:r>
      <w:r w:rsidR="003B296C" w:rsidRPr="006144E6">
        <w:rPr>
          <w:lang w:val="en-GB"/>
        </w:rPr>
        <w:t xml:space="preserve"> Iceland, 2018) and external review (Zieschang, 2019) concluded that the basic calculation and the architecture of the IWPI is sound.</w:t>
      </w:r>
      <w:r w:rsidR="009A4E5F" w:rsidRPr="006144E6">
        <w:rPr>
          <w:lang w:val="en-GB"/>
        </w:rPr>
        <w:t xml:space="preserve"> Indices as </w:t>
      </w:r>
      <w:r w:rsidR="00D22DEC" w:rsidRPr="006144E6">
        <w:rPr>
          <w:lang w:val="en-GB"/>
        </w:rPr>
        <w:t>such</w:t>
      </w:r>
      <w:r w:rsidR="009A4E5F" w:rsidRPr="006144E6">
        <w:rPr>
          <w:lang w:val="en-GB"/>
        </w:rPr>
        <w:t xml:space="preserve"> are however prone to vari</w:t>
      </w:r>
      <w:r w:rsidR="00DC4BAC">
        <w:rPr>
          <w:lang w:val="en-GB"/>
        </w:rPr>
        <w:t>ous sources of errors and bias as discussed in next chapter.</w:t>
      </w:r>
    </w:p>
    <w:p w14:paraId="335E1613" w14:textId="77777777" w:rsidR="00AF06A3" w:rsidRPr="006144E6" w:rsidRDefault="00AF06A3" w:rsidP="0099678F">
      <w:pPr>
        <w:pStyle w:val="Heading1"/>
      </w:pPr>
      <w:bookmarkStart w:id="1" w:name="_Toc522106670"/>
      <w:r w:rsidRPr="006144E6">
        <w:t xml:space="preserve">Sources </w:t>
      </w:r>
      <w:bookmarkEnd w:id="1"/>
      <w:r w:rsidR="0030586C" w:rsidRPr="006144E6">
        <w:t>of errors and bias</w:t>
      </w:r>
    </w:p>
    <w:p w14:paraId="3B81B3E4" w14:textId="77777777" w:rsidR="00AF06A3" w:rsidRPr="006144E6" w:rsidRDefault="00AF06A3" w:rsidP="00AF06A3">
      <w:pPr>
        <w:rPr>
          <w:szCs w:val="24"/>
          <w:lang w:val="en-GB"/>
        </w:rPr>
      </w:pPr>
      <w:r w:rsidRPr="006144E6">
        <w:rPr>
          <w:szCs w:val="24"/>
          <w:lang w:val="en-GB"/>
        </w:rPr>
        <w:t xml:space="preserve">A price index has a hierarchical structure and it </w:t>
      </w:r>
      <w:proofErr w:type="gramStart"/>
      <w:r w:rsidRPr="006144E6">
        <w:rPr>
          <w:szCs w:val="24"/>
          <w:lang w:val="en-GB"/>
        </w:rPr>
        <w:t>may be viewed</w:t>
      </w:r>
      <w:proofErr w:type="gramEnd"/>
      <w:r w:rsidRPr="006144E6">
        <w:rPr>
          <w:szCs w:val="24"/>
          <w:lang w:val="en-GB"/>
        </w:rPr>
        <w:t xml:space="preserve"> as a generalized weighted average of sub-indices, at any level of this hierarchy. At its lowest </w:t>
      </w:r>
      <w:r w:rsidR="00F6591E" w:rsidRPr="006144E6">
        <w:rPr>
          <w:szCs w:val="24"/>
          <w:lang w:val="en-GB"/>
        </w:rPr>
        <w:t>level,</w:t>
      </w:r>
      <w:r w:rsidRPr="006144E6">
        <w:rPr>
          <w:szCs w:val="24"/>
          <w:lang w:val="en-GB"/>
        </w:rPr>
        <w:t xml:space="preserve"> one finds the changes in prices of items, i.e. of hourly wages for the IWPI. It is therefore a summary measure, since it reflects only the means and nothing more of the probability distributions of the relative price variations. It is also based on sample data and calculated for successive points in </w:t>
      </w:r>
      <w:r w:rsidR="00F6591E" w:rsidRPr="006144E6">
        <w:rPr>
          <w:szCs w:val="24"/>
          <w:lang w:val="en-GB"/>
        </w:rPr>
        <w:t>time that</w:t>
      </w:r>
      <w:r w:rsidRPr="006144E6">
        <w:rPr>
          <w:szCs w:val="24"/>
          <w:lang w:val="en-GB"/>
        </w:rPr>
        <w:t xml:space="preserve"> then have to </w:t>
      </w:r>
      <w:proofErr w:type="gramStart"/>
      <w:r w:rsidRPr="006144E6">
        <w:rPr>
          <w:szCs w:val="24"/>
          <w:lang w:val="en-GB"/>
        </w:rPr>
        <w:t>be used</w:t>
      </w:r>
      <w:proofErr w:type="gramEnd"/>
      <w:r w:rsidRPr="006144E6">
        <w:rPr>
          <w:szCs w:val="24"/>
          <w:lang w:val="en-GB"/>
        </w:rPr>
        <w:t xml:space="preserve"> to describe the time evolution of the "true" index. Due to all these causes, a price index number is prone to errors and bias irrespective of the index formula.</w:t>
      </w:r>
    </w:p>
    <w:p w14:paraId="79DEF543" w14:textId="77777777" w:rsidR="0030586C" w:rsidRPr="006144E6" w:rsidRDefault="0030586C" w:rsidP="0030586C">
      <w:pPr>
        <w:rPr>
          <w:lang w:val="en-GB"/>
        </w:rPr>
      </w:pPr>
      <w:r w:rsidRPr="006144E6">
        <w:rPr>
          <w:lang w:val="en-GB"/>
        </w:rPr>
        <w:t>The main types of errors and bias for any price index (Balk, 2008</w:t>
      </w:r>
      <w:r w:rsidR="00F6591E" w:rsidRPr="006144E6">
        <w:rPr>
          <w:lang w:val="en-GB"/>
        </w:rPr>
        <w:t>) are due to sampling errors,</w:t>
      </w:r>
      <w:r w:rsidRPr="006144E6">
        <w:rPr>
          <w:lang w:val="en-GB"/>
        </w:rPr>
        <w:t xml:space="preserve"> dynamic effects</w:t>
      </w:r>
      <w:r w:rsidR="00F6591E" w:rsidRPr="006144E6">
        <w:rPr>
          <w:lang w:val="en-GB"/>
        </w:rPr>
        <w:t xml:space="preserve"> and chaining.</w:t>
      </w:r>
    </w:p>
    <w:p w14:paraId="7973F775" w14:textId="77777777" w:rsidR="0030586C" w:rsidRPr="006144E6" w:rsidRDefault="0030586C" w:rsidP="0099678F">
      <w:pPr>
        <w:pStyle w:val="Heading2"/>
      </w:pPr>
      <w:r w:rsidRPr="006144E6">
        <w:t>Sampling errors</w:t>
      </w:r>
    </w:p>
    <w:p w14:paraId="70E947E6" w14:textId="77777777" w:rsidR="0030586C" w:rsidRPr="006144E6" w:rsidRDefault="0030586C" w:rsidP="0030586C">
      <w:pPr>
        <w:rPr>
          <w:lang w:val="en-GB"/>
        </w:rPr>
      </w:pPr>
      <w:r w:rsidRPr="006144E6">
        <w:rPr>
          <w:lang w:val="en-GB"/>
        </w:rPr>
        <w:t xml:space="preserve">Index numbers </w:t>
      </w:r>
      <w:proofErr w:type="gramStart"/>
      <w:r w:rsidRPr="006144E6">
        <w:rPr>
          <w:lang w:val="en-GB"/>
        </w:rPr>
        <w:t>are in general not calculated</w:t>
      </w:r>
      <w:proofErr w:type="gramEnd"/>
      <w:r w:rsidRPr="006144E6">
        <w:rPr>
          <w:lang w:val="en-GB"/>
        </w:rPr>
        <w:t xml:space="preserve"> on census data. Sampling from a population of items, e.g. hourly wages, needs to be random, i.e. a probability sampling and ensure a good coverage and representativeness, including rare patterns if possible. Any deviation from these conditions may induce errors and instabilities in index estimates.</w:t>
      </w:r>
    </w:p>
    <w:p w14:paraId="40784142" w14:textId="77777777" w:rsidR="009A4E5F" w:rsidRPr="006144E6" w:rsidRDefault="00DC4BAC" w:rsidP="00746F81">
      <w:pPr>
        <w:pStyle w:val="Heading3"/>
      </w:pPr>
      <w:r>
        <w:t>Coverage</w:t>
      </w:r>
    </w:p>
    <w:p w14:paraId="606C60CF" w14:textId="79557EA8" w:rsidR="00563BD8" w:rsidRPr="006144E6" w:rsidRDefault="00563BD8" w:rsidP="00563BD8">
      <w:pPr>
        <w:rPr>
          <w:rFonts w:eastAsia="Times New Roman" w:cs="Times New Roman"/>
          <w:szCs w:val="24"/>
          <w:lang w:val="en-GB" w:eastAsia="is-IS"/>
        </w:rPr>
      </w:pPr>
      <w:r w:rsidRPr="006144E6">
        <w:rPr>
          <w:rFonts w:eastAsia="Times New Roman" w:cs="Times New Roman"/>
          <w:szCs w:val="24"/>
          <w:lang w:val="en-GB" w:eastAsia="is-IS"/>
        </w:rPr>
        <w:t xml:space="preserve">The ISWEL survey is a stratified clustered sample survey with stratum based on two digit economic activity and size. </w:t>
      </w:r>
      <w:r w:rsidR="00CE59F7">
        <w:rPr>
          <w:rFonts w:eastAsia="Times New Roman" w:cs="Times New Roman"/>
          <w:szCs w:val="24"/>
          <w:lang w:val="en-GB" w:eastAsia="is-IS"/>
        </w:rPr>
        <w:t>While t</w:t>
      </w:r>
      <w:r w:rsidRPr="006144E6">
        <w:rPr>
          <w:rFonts w:eastAsia="Times New Roman" w:cs="Times New Roman"/>
          <w:szCs w:val="24"/>
          <w:lang w:val="en-GB" w:eastAsia="is-IS"/>
        </w:rPr>
        <w:t xml:space="preserve">he survey design </w:t>
      </w:r>
      <w:r w:rsidR="002D3826" w:rsidRPr="006144E6">
        <w:rPr>
          <w:rFonts w:eastAsia="Times New Roman" w:cs="Times New Roman"/>
          <w:szCs w:val="24"/>
          <w:lang w:val="en-GB" w:eastAsia="is-IS"/>
        </w:rPr>
        <w:t>assumes</w:t>
      </w:r>
      <w:r w:rsidRPr="006144E6">
        <w:rPr>
          <w:rFonts w:eastAsia="Times New Roman" w:cs="Times New Roman"/>
          <w:szCs w:val="24"/>
          <w:lang w:val="en-GB" w:eastAsia="is-IS"/>
        </w:rPr>
        <w:t xml:space="preserve"> full inclusion of the whole la</w:t>
      </w:r>
      <w:r w:rsidR="00447512" w:rsidRPr="006144E6">
        <w:rPr>
          <w:rFonts w:eastAsia="Times New Roman" w:cs="Times New Roman"/>
          <w:szCs w:val="24"/>
          <w:lang w:val="en-GB" w:eastAsia="is-IS"/>
        </w:rPr>
        <w:t>bour market,</w:t>
      </w:r>
      <w:r w:rsidR="002A57E3" w:rsidRPr="006144E6">
        <w:rPr>
          <w:rFonts w:eastAsia="Times New Roman" w:cs="Times New Roman"/>
          <w:szCs w:val="24"/>
          <w:lang w:val="en-GB" w:eastAsia="is-IS"/>
        </w:rPr>
        <w:t xml:space="preserve"> for all companies with 10 or more employees in</w:t>
      </w:r>
      <w:r w:rsidR="00447512" w:rsidRPr="006144E6">
        <w:rPr>
          <w:rFonts w:eastAsia="Times New Roman" w:cs="Times New Roman"/>
          <w:szCs w:val="24"/>
          <w:lang w:val="en-GB" w:eastAsia="is-IS"/>
        </w:rPr>
        <w:t xml:space="preserve"> sections A</w:t>
      </w:r>
      <w:r w:rsidRPr="006144E6">
        <w:rPr>
          <w:rFonts w:eastAsia="Times New Roman" w:cs="Times New Roman"/>
          <w:szCs w:val="24"/>
          <w:lang w:val="en-GB" w:eastAsia="is-IS"/>
        </w:rPr>
        <w:t xml:space="preserve">-S according to Ísat2008, </w:t>
      </w:r>
      <w:r w:rsidR="00CE59F7">
        <w:rPr>
          <w:rFonts w:eastAsia="Times New Roman" w:cs="Times New Roman"/>
          <w:szCs w:val="24"/>
          <w:lang w:val="en-GB" w:eastAsia="is-IS"/>
        </w:rPr>
        <w:t xml:space="preserve">this </w:t>
      </w:r>
      <w:proofErr w:type="gramStart"/>
      <w:r w:rsidR="00CE59F7">
        <w:rPr>
          <w:rFonts w:eastAsia="Times New Roman" w:cs="Times New Roman"/>
          <w:szCs w:val="24"/>
          <w:lang w:val="en-GB" w:eastAsia="is-IS"/>
        </w:rPr>
        <w:t>has never</w:t>
      </w:r>
      <w:r w:rsidRPr="006144E6">
        <w:rPr>
          <w:rFonts w:eastAsia="Times New Roman" w:cs="Times New Roman"/>
          <w:szCs w:val="24"/>
          <w:lang w:val="en-GB" w:eastAsia="is-IS"/>
        </w:rPr>
        <w:t xml:space="preserve"> been </w:t>
      </w:r>
      <w:r w:rsidR="00CE59F7">
        <w:rPr>
          <w:rFonts w:eastAsia="Times New Roman" w:cs="Times New Roman"/>
          <w:szCs w:val="24"/>
          <w:lang w:val="en-GB" w:eastAsia="is-IS"/>
        </w:rPr>
        <w:t xml:space="preserve">fully </w:t>
      </w:r>
      <w:r w:rsidRPr="006144E6">
        <w:rPr>
          <w:rFonts w:eastAsia="Times New Roman" w:cs="Times New Roman"/>
          <w:szCs w:val="24"/>
          <w:lang w:val="en-GB" w:eastAsia="is-IS"/>
        </w:rPr>
        <w:t>accomplished</w:t>
      </w:r>
      <w:proofErr w:type="gramEnd"/>
      <w:r w:rsidRPr="006144E6">
        <w:rPr>
          <w:rFonts w:eastAsia="Times New Roman" w:cs="Times New Roman"/>
          <w:szCs w:val="24"/>
          <w:lang w:val="en-GB" w:eastAsia="is-IS"/>
        </w:rPr>
        <w:t xml:space="preserve">. Currently, the following </w:t>
      </w:r>
      <w:r w:rsidRPr="006144E6">
        <w:rPr>
          <w:rFonts w:eastAsia="Times New Roman" w:cs="Times New Roman"/>
          <w:szCs w:val="24"/>
          <w:lang w:val="en-GB" w:eastAsia="is-IS"/>
        </w:rPr>
        <w:lastRenderedPageBreak/>
        <w:t>economic activities are fully included in ISWEL: Manufacturing (C), Electricity, gas steam and air conditioning supply (D), Water supply, sewerage, waste management and remediation activities (E), Construction (F), Wholesale and retail trade; repair of motor vehicles and motorcycles (G), Transportation and storage (H), Accommodation and food service activities (I), and Financial and insurance activities (K).</w:t>
      </w:r>
    </w:p>
    <w:p w14:paraId="38CACB41" w14:textId="77777777" w:rsidR="002A57E3" w:rsidRPr="006144E6" w:rsidRDefault="00563BD8" w:rsidP="00563BD8">
      <w:pPr>
        <w:rPr>
          <w:rFonts w:eastAsia="Times New Roman" w:cs="Times New Roman"/>
          <w:szCs w:val="24"/>
          <w:lang w:val="en-GB" w:eastAsia="is-IS"/>
        </w:rPr>
      </w:pPr>
      <w:r w:rsidRPr="006144E6">
        <w:rPr>
          <w:rFonts w:eastAsia="Times New Roman" w:cs="Times New Roman"/>
          <w:szCs w:val="24"/>
          <w:lang w:val="en-GB" w:eastAsia="is-IS"/>
        </w:rPr>
        <w:t>The following economic activities are partly covered: Information and communication (J, only big companies in economic divisions 58–61), Engineering activities</w:t>
      </w:r>
      <w:r w:rsidRPr="006144E6">
        <w:rPr>
          <w:sz w:val="20"/>
          <w:szCs w:val="20"/>
          <w:lang w:val="en-GB"/>
        </w:rPr>
        <w:t xml:space="preserve"> </w:t>
      </w:r>
      <w:r w:rsidRPr="006144E6">
        <w:rPr>
          <w:rFonts w:eastAsia="Times New Roman" w:cs="Times New Roman"/>
          <w:szCs w:val="24"/>
          <w:lang w:val="en-GB" w:eastAsia="is-IS"/>
        </w:rPr>
        <w:t xml:space="preserve">(M, only economic division 71),  Public administration and defence; compulsory social security (O), Education (P), Human health and social work activities (Q) and Arts, entertainment and recreation (R). Economic activities O, P, Q and R only include employees in the public sector. </w:t>
      </w:r>
    </w:p>
    <w:p w14:paraId="56E43F39" w14:textId="77777777" w:rsidR="00563BD8" w:rsidRPr="006144E6" w:rsidRDefault="002A57E3" w:rsidP="00563BD8">
      <w:pPr>
        <w:rPr>
          <w:rFonts w:eastAsia="Times New Roman" w:cs="Times New Roman"/>
          <w:szCs w:val="24"/>
          <w:lang w:val="en-GB" w:eastAsia="is-IS"/>
        </w:rPr>
      </w:pPr>
      <w:r w:rsidRPr="006144E6">
        <w:rPr>
          <w:rFonts w:eastAsia="Times New Roman" w:cs="Times New Roman"/>
          <w:szCs w:val="24"/>
          <w:lang w:val="en-GB" w:eastAsia="is-IS"/>
        </w:rPr>
        <w:t>About 90% of the Icelandic labour force worked in economic activities fully or partly covered by ISWEL in 2018 according to registers.</w:t>
      </w:r>
    </w:p>
    <w:p w14:paraId="0D5A59E8" w14:textId="78F1083A" w:rsidR="00563BD8" w:rsidRPr="008F32CA" w:rsidRDefault="00563BD8" w:rsidP="00746F81">
      <w:pPr>
        <w:pStyle w:val="Heading3"/>
      </w:pPr>
      <w:r w:rsidRPr="008F32CA">
        <w:t>Assessment</w:t>
      </w:r>
      <w:r w:rsidR="008F32CA" w:rsidRPr="008F32CA">
        <w:t xml:space="preserve"> of the sampling errors</w:t>
      </w:r>
    </w:p>
    <w:p w14:paraId="5E37D7D8" w14:textId="77777777" w:rsidR="00B01968" w:rsidRPr="006144E6" w:rsidRDefault="002400D3" w:rsidP="00B01968">
      <w:pPr>
        <w:rPr>
          <w:lang w:val="en-GB"/>
        </w:rPr>
      </w:pPr>
      <w:r w:rsidRPr="006144E6">
        <w:rPr>
          <w:lang w:val="en-GB"/>
        </w:rPr>
        <w:t xml:space="preserve">Both the internal review (Statistics Iceland, 2018) and external review (Zieschang, 2019) </w:t>
      </w:r>
      <w:r w:rsidR="00B01968" w:rsidRPr="006144E6">
        <w:rPr>
          <w:lang w:val="en-GB"/>
        </w:rPr>
        <w:t xml:space="preserve">concluded that the </w:t>
      </w:r>
      <w:r w:rsidRPr="006144E6">
        <w:rPr>
          <w:lang w:val="en-GB"/>
        </w:rPr>
        <w:t xml:space="preserve">data set is extensive and the </w:t>
      </w:r>
      <w:r w:rsidR="00B01968" w:rsidRPr="006144E6">
        <w:rPr>
          <w:lang w:val="en-GB"/>
        </w:rPr>
        <w:t>ISEWL’s coverage appears to be a robust foundation for wage measurement. From the time of the review, data for economic activity I has been added to the dataset of the IWPI.</w:t>
      </w:r>
    </w:p>
    <w:p w14:paraId="1F606D03" w14:textId="77777777" w:rsidR="0030586C" w:rsidRPr="006144E6" w:rsidRDefault="0030586C" w:rsidP="00E9547F">
      <w:pPr>
        <w:pStyle w:val="Heading2"/>
      </w:pPr>
      <w:r w:rsidRPr="00E9547F">
        <w:t>Dynamic</w:t>
      </w:r>
      <w:r w:rsidRPr="006144E6">
        <w:t xml:space="preserve"> effects</w:t>
      </w:r>
    </w:p>
    <w:p w14:paraId="5142C303" w14:textId="77777777" w:rsidR="0030586C" w:rsidRPr="006144E6" w:rsidRDefault="002400D3" w:rsidP="0030586C">
      <w:pPr>
        <w:rPr>
          <w:lang w:val="en-GB"/>
        </w:rPr>
      </w:pPr>
      <w:r w:rsidRPr="006144E6">
        <w:rPr>
          <w:lang w:val="en-GB"/>
        </w:rPr>
        <w:t>T</w:t>
      </w:r>
      <w:r w:rsidR="0030586C" w:rsidRPr="006144E6">
        <w:rPr>
          <w:lang w:val="en-GB"/>
        </w:rPr>
        <w:t>he population of items evolves over time,</w:t>
      </w:r>
      <w:r w:rsidRPr="006144E6">
        <w:rPr>
          <w:lang w:val="en-GB"/>
        </w:rPr>
        <w:t xml:space="preserve"> thus</w:t>
      </w:r>
      <w:r w:rsidR="0030586C" w:rsidRPr="006144E6">
        <w:rPr>
          <w:lang w:val="en-GB"/>
        </w:rPr>
        <w:t xml:space="preserve"> the price and weight distributions are affected</w:t>
      </w:r>
      <w:r w:rsidR="006F0336" w:rsidRPr="006144E6">
        <w:rPr>
          <w:lang w:val="en-GB"/>
        </w:rPr>
        <w:t>,</w:t>
      </w:r>
      <w:r w:rsidR="0030586C" w:rsidRPr="006144E6">
        <w:rPr>
          <w:lang w:val="en-GB"/>
        </w:rPr>
        <w:t xml:space="preserve"> and may introduce errors if the assumptions or methods for calculating t</w:t>
      </w:r>
      <w:r w:rsidR="006F0336" w:rsidRPr="006144E6">
        <w:rPr>
          <w:lang w:val="en-GB"/>
        </w:rPr>
        <w:t>he index do not accommodate these</w:t>
      </w:r>
      <w:r w:rsidR="0030586C" w:rsidRPr="006144E6">
        <w:rPr>
          <w:lang w:val="en-GB"/>
        </w:rPr>
        <w:t xml:space="preserve"> dynamics.</w:t>
      </w:r>
    </w:p>
    <w:p w14:paraId="09402967" w14:textId="77777777" w:rsidR="002400D3" w:rsidRPr="006144E6" w:rsidRDefault="002400D3" w:rsidP="00746F81">
      <w:pPr>
        <w:pStyle w:val="Heading3"/>
      </w:pPr>
      <w:r w:rsidRPr="006144E6">
        <w:t>Changes in population</w:t>
      </w:r>
    </w:p>
    <w:p w14:paraId="7D8109B0" w14:textId="7E174861" w:rsidR="002400D3" w:rsidRDefault="002400D3" w:rsidP="002400D3">
      <w:pPr>
        <w:rPr>
          <w:lang w:val="en-GB"/>
        </w:rPr>
      </w:pPr>
      <w:r w:rsidRPr="006144E6">
        <w:rPr>
          <w:lang w:val="en-GB"/>
        </w:rPr>
        <w:t>As the popu</w:t>
      </w:r>
      <w:r w:rsidR="00F6591E" w:rsidRPr="006144E6">
        <w:rPr>
          <w:lang w:val="en-GB"/>
        </w:rPr>
        <w:t xml:space="preserve">lation is constantly changing, a static sample does not reflect newly appearing items nor missing and disappearing items. Compensations </w:t>
      </w:r>
      <w:proofErr w:type="gramStart"/>
      <w:r w:rsidR="00F6591E" w:rsidRPr="006144E6">
        <w:rPr>
          <w:lang w:val="en-GB"/>
        </w:rPr>
        <w:t>are made</w:t>
      </w:r>
      <w:proofErr w:type="gramEnd"/>
      <w:r w:rsidR="00F6591E" w:rsidRPr="006144E6">
        <w:rPr>
          <w:lang w:val="en-GB"/>
        </w:rPr>
        <w:t xml:space="preserve"> by applying adequate sample refresh and using large samples.</w:t>
      </w:r>
    </w:p>
    <w:p w14:paraId="24C98FAF" w14:textId="77777777" w:rsidR="009A0247" w:rsidRPr="006144E6" w:rsidRDefault="009A0247" w:rsidP="00746F81">
      <w:pPr>
        <w:pStyle w:val="Heading3"/>
      </w:pPr>
      <w:r w:rsidRPr="006144E6">
        <w:t xml:space="preserve">Life </w:t>
      </w:r>
      <w:r w:rsidRPr="00746F81">
        <w:t>cycle</w:t>
      </w:r>
      <w:r w:rsidRPr="006144E6">
        <w:t xml:space="preserve"> effect</w:t>
      </w:r>
    </w:p>
    <w:p w14:paraId="6399E84A" w14:textId="77777777" w:rsidR="009A0247" w:rsidRPr="006144E6" w:rsidRDefault="009A0247" w:rsidP="009A0247">
      <w:pPr>
        <w:rPr>
          <w:szCs w:val="24"/>
          <w:lang w:val="en-GB"/>
        </w:rPr>
      </w:pPr>
      <w:r w:rsidRPr="006144E6">
        <w:rPr>
          <w:lang w:val="en-GB"/>
        </w:rPr>
        <w:t>I</w:t>
      </w:r>
      <w:r w:rsidR="0030586C" w:rsidRPr="006144E6">
        <w:rPr>
          <w:lang w:val="en-GB"/>
        </w:rPr>
        <w:t xml:space="preserve">nfluences of life cycle evolution </w:t>
      </w:r>
      <w:r w:rsidR="00292B50" w:rsidRPr="006144E6">
        <w:rPr>
          <w:lang w:val="en-GB"/>
        </w:rPr>
        <w:t>and</w:t>
      </w:r>
      <w:r w:rsidR="0030586C" w:rsidRPr="006144E6">
        <w:rPr>
          <w:lang w:val="en-GB"/>
        </w:rPr>
        <w:t xml:space="preserve"> the effect of persistent products</w:t>
      </w:r>
      <w:r w:rsidRPr="006144E6">
        <w:rPr>
          <w:lang w:val="en-GB"/>
        </w:rPr>
        <w:t xml:space="preserve"> might introduce a bias into the index. </w:t>
      </w:r>
      <w:r w:rsidRPr="006144E6">
        <w:rPr>
          <w:szCs w:val="24"/>
          <w:lang w:val="en-GB"/>
        </w:rPr>
        <w:t xml:space="preserve">Matched samples method for calculating price index numbers </w:t>
      </w:r>
      <w:r w:rsidRPr="006144E6">
        <w:rPr>
          <w:szCs w:val="24"/>
          <w:lang w:val="en-GB"/>
        </w:rPr>
        <w:lastRenderedPageBreak/>
        <w:t xml:space="preserve">may introduce bias if the products (hourly wages of employer-employee transactions, in the case of IWPI) have systematic price or weight trends at different points in their life cycle and if the age distribution of the products in the sample does not mirror consistently the one in the whole population. </w:t>
      </w:r>
    </w:p>
    <w:p w14:paraId="2271562C" w14:textId="77777777" w:rsidR="0030586C" w:rsidRPr="006144E6" w:rsidRDefault="00292B50" w:rsidP="009A0247">
      <w:pPr>
        <w:rPr>
          <w:lang w:val="en-GB"/>
        </w:rPr>
      </w:pPr>
      <w:r w:rsidRPr="006144E6">
        <w:rPr>
          <w:lang w:val="en-GB"/>
        </w:rPr>
        <w:t xml:space="preserve">This may addressed by modelling and </w:t>
      </w:r>
      <w:r w:rsidR="0030586C" w:rsidRPr="006144E6">
        <w:rPr>
          <w:lang w:val="en-GB"/>
        </w:rPr>
        <w:t>choice of elementary aggregate</w:t>
      </w:r>
    </w:p>
    <w:p w14:paraId="7103900D" w14:textId="5FF640F4" w:rsidR="009A0247" w:rsidRDefault="009A0247" w:rsidP="00862E11">
      <w:pPr>
        <w:pStyle w:val="Heading3"/>
      </w:pPr>
      <w:r w:rsidRPr="006144E6">
        <w:t>Assessment</w:t>
      </w:r>
      <w:r w:rsidR="00862E11">
        <w:t xml:space="preserve"> of the dynamic effects</w:t>
      </w:r>
    </w:p>
    <w:p w14:paraId="30F3F971" w14:textId="2E6BEA01" w:rsidR="00862E11" w:rsidRPr="00862E11" w:rsidRDefault="00862E11" w:rsidP="00862E11">
      <w:pPr>
        <w:rPr>
          <w:lang w:val="en-GB"/>
        </w:rPr>
      </w:pPr>
      <w:r w:rsidRPr="006144E6">
        <w:rPr>
          <w:lang w:val="en-GB"/>
        </w:rPr>
        <w:t xml:space="preserve">Both the internal review (Statistics Iceland, 2018) and external review (Zieschang, 2019) concluded that the sample size is adequate. The internal review pointed out that a systematic sample refresh </w:t>
      </w:r>
      <w:proofErr w:type="gramStart"/>
      <w:r w:rsidRPr="006144E6">
        <w:rPr>
          <w:lang w:val="en-GB"/>
        </w:rPr>
        <w:t>should be applied</w:t>
      </w:r>
      <w:proofErr w:type="gramEnd"/>
      <w:r w:rsidRPr="006144E6">
        <w:rPr>
          <w:lang w:val="en-GB"/>
        </w:rPr>
        <w:t xml:space="preserve"> to the ISWEL survey, which has been lacking in practice.</w:t>
      </w:r>
    </w:p>
    <w:p w14:paraId="30BA3A29" w14:textId="6CDBC7EA" w:rsidR="009A0247" w:rsidRPr="006144E6" w:rsidRDefault="00862E11" w:rsidP="009A0247">
      <w:pPr>
        <w:rPr>
          <w:lang w:val="en-GB"/>
        </w:rPr>
      </w:pPr>
      <w:r>
        <w:rPr>
          <w:lang w:val="en-GB"/>
        </w:rPr>
        <w:t>Regarding the life cycle effect, t</w:t>
      </w:r>
      <w:r w:rsidR="009A0247" w:rsidRPr="006144E6">
        <w:rPr>
          <w:lang w:val="en-GB"/>
        </w:rPr>
        <w:t>he internal review (Statistics Iceland, 2018) concluded that the choice of elementary aggregate is in accordance with the general index theory and</w:t>
      </w:r>
      <w:r w:rsidR="00292B50" w:rsidRPr="006144E6">
        <w:rPr>
          <w:lang w:val="en-GB"/>
        </w:rPr>
        <w:t xml:space="preserve"> statistical</w:t>
      </w:r>
      <w:r w:rsidR="009A0247" w:rsidRPr="006144E6">
        <w:rPr>
          <w:lang w:val="en-GB"/>
        </w:rPr>
        <w:t xml:space="preserve"> tests for life cycle dependency of relative prices and for weights show very weak effects. </w:t>
      </w:r>
    </w:p>
    <w:p w14:paraId="7355FF0C" w14:textId="47A00DED" w:rsidR="00292B50" w:rsidRPr="006144E6" w:rsidRDefault="009A0247" w:rsidP="00292B50">
      <w:pPr>
        <w:rPr>
          <w:lang w:val="en-GB"/>
        </w:rPr>
      </w:pPr>
      <w:r w:rsidRPr="006144E6">
        <w:rPr>
          <w:lang w:val="en-GB"/>
        </w:rPr>
        <w:t xml:space="preserve">Modelling the (mean value) elementary index as a linear </w:t>
      </w:r>
      <w:r w:rsidRPr="006144E6">
        <w:rPr>
          <w:i/>
          <w:lang w:val="en-GB"/>
        </w:rPr>
        <w:t>function of the age</w:t>
      </w:r>
      <w:r w:rsidRPr="006144E6">
        <w:rPr>
          <w:lang w:val="en-GB"/>
        </w:rPr>
        <w:t xml:space="preserve"> of the items sh</w:t>
      </w:r>
      <w:r w:rsidR="00292B50" w:rsidRPr="006144E6">
        <w:rPr>
          <w:lang w:val="en-GB"/>
        </w:rPr>
        <w:t>ows a very weak such dependency</w:t>
      </w:r>
      <w:r w:rsidR="004B615B">
        <w:rPr>
          <w:lang w:val="en-GB"/>
        </w:rPr>
        <w:t xml:space="preserve"> as can be s</w:t>
      </w:r>
      <w:r w:rsidR="004B615B" w:rsidRPr="00862E11">
        <w:rPr>
          <w:rFonts w:cs="Arial"/>
          <w:szCs w:val="24"/>
          <w:lang w:val="en-GB"/>
        </w:rPr>
        <w:t xml:space="preserve">een in </w:t>
      </w:r>
      <w:r w:rsidR="004B615B" w:rsidRPr="00862E11">
        <w:rPr>
          <w:rFonts w:cs="Arial"/>
          <w:szCs w:val="24"/>
          <w:lang w:val="en-GB"/>
        </w:rPr>
        <w:fldChar w:fldCharType="begin"/>
      </w:r>
      <w:r w:rsidR="004B615B" w:rsidRPr="00862E11">
        <w:rPr>
          <w:rFonts w:cs="Arial"/>
          <w:szCs w:val="24"/>
          <w:lang w:val="en-GB"/>
        </w:rPr>
        <w:instrText xml:space="preserve"> REF _Ref13645773 \h  \* MERGEFORMAT </w:instrText>
      </w:r>
      <w:r w:rsidR="004B615B" w:rsidRPr="00862E11">
        <w:rPr>
          <w:rFonts w:cs="Arial"/>
          <w:szCs w:val="24"/>
          <w:lang w:val="en-GB"/>
        </w:rPr>
      </w:r>
      <w:r w:rsidR="004B615B" w:rsidRPr="00862E11">
        <w:rPr>
          <w:rFonts w:cs="Arial"/>
          <w:szCs w:val="24"/>
          <w:lang w:val="en-GB"/>
        </w:rPr>
        <w:fldChar w:fldCharType="separate"/>
      </w:r>
      <w:r w:rsidR="004B615B" w:rsidRPr="00862E11">
        <w:rPr>
          <w:rFonts w:cs="Arial"/>
          <w:szCs w:val="24"/>
          <w:lang w:val="en-GB"/>
        </w:rPr>
        <w:t xml:space="preserve">Table </w:t>
      </w:r>
      <w:r w:rsidR="004B615B" w:rsidRPr="00862E11">
        <w:rPr>
          <w:rFonts w:cs="Arial"/>
          <w:noProof/>
          <w:szCs w:val="24"/>
          <w:lang w:val="en-GB"/>
        </w:rPr>
        <w:t>1</w:t>
      </w:r>
      <w:r w:rsidR="004B615B" w:rsidRPr="00862E11">
        <w:rPr>
          <w:rFonts w:cs="Arial"/>
          <w:szCs w:val="24"/>
          <w:lang w:val="en-GB"/>
        </w:rPr>
        <w:fldChar w:fldCharType="end"/>
      </w:r>
      <w:r w:rsidR="00292B50" w:rsidRPr="006144E6">
        <w:rPr>
          <w:lang w:val="en-GB"/>
        </w:rPr>
        <w:t>.</w:t>
      </w:r>
    </w:p>
    <w:p w14:paraId="45266C7D" w14:textId="77777777" w:rsidR="00D22DEC" w:rsidRPr="006144E6" w:rsidRDefault="00D22DEC" w:rsidP="00D22DEC">
      <w:pPr>
        <w:pStyle w:val="Caption"/>
        <w:keepNext/>
        <w:rPr>
          <w:b/>
          <w:i w:val="0"/>
          <w:sz w:val="20"/>
          <w:szCs w:val="20"/>
          <w:lang w:val="en-GB"/>
        </w:rPr>
      </w:pPr>
      <w:bookmarkStart w:id="2" w:name="_Ref13645773"/>
      <w:r w:rsidRPr="006144E6">
        <w:rPr>
          <w:b/>
          <w:i w:val="0"/>
          <w:sz w:val="20"/>
          <w:szCs w:val="20"/>
          <w:lang w:val="en-GB"/>
        </w:rPr>
        <w:t xml:space="preserve">Table </w:t>
      </w:r>
      <w:r w:rsidRPr="006144E6">
        <w:rPr>
          <w:b/>
          <w:i w:val="0"/>
          <w:sz w:val="20"/>
          <w:szCs w:val="20"/>
          <w:lang w:val="en-GB"/>
        </w:rPr>
        <w:fldChar w:fldCharType="begin"/>
      </w:r>
      <w:r w:rsidRPr="006144E6">
        <w:rPr>
          <w:b/>
          <w:i w:val="0"/>
          <w:sz w:val="20"/>
          <w:szCs w:val="20"/>
          <w:lang w:val="en-GB"/>
        </w:rPr>
        <w:instrText xml:space="preserve"> SEQ Table \* ARABIC </w:instrText>
      </w:r>
      <w:r w:rsidRPr="006144E6">
        <w:rPr>
          <w:b/>
          <w:i w:val="0"/>
          <w:sz w:val="20"/>
          <w:szCs w:val="20"/>
          <w:lang w:val="en-GB"/>
        </w:rPr>
        <w:fldChar w:fldCharType="separate"/>
      </w:r>
      <w:r w:rsidR="005747A4">
        <w:rPr>
          <w:b/>
          <w:i w:val="0"/>
          <w:noProof/>
          <w:sz w:val="20"/>
          <w:szCs w:val="20"/>
          <w:lang w:val="en-GB"/>
        </w:rPr>
        <w:t>1</w:t>
      </w:r>
      <w:r w:rsidRPr="006144E6">
        <w:rPr>
          <w:b/>
          <w:i w:val="0"/>
          <w:sz w:val="20"/>
          <w:szCs w:val="20"/>
          <w:lang w:val="en-GB"/>
        </w:rPr>
        <w:fldChar w:fldCharType="end"/>
      </w:r>
      <w:bookmarkEnd w:id="2"/>
      <w:r w:rsidRPr="006144E6">
        <w:rPr>
          <w:b/>
          <w:i w:val="0"/>
          <w:sz w:val="20"/>
          <w:szCs w:val="20"/>
          <w:lang w:val="en-GB"/>
        </w:rPr>
        <w:t xml:space="preserve">. </w:t>
      </w:r>
      <w:r w:rsidR="006144E6" w:rsidRPr="006144E6">
        <w:rPr>
          <w:b/>
          <w:i w:val="0"/>
          <w:sz w:val="20"/>
          <w:szCs w:val="20"/>
          <w:lang w:val="en-GB"/>
        </w:rPr>
        <w:t>Coefficients</w:t>
      </w:r>
      <w:r w:rsidRPr="006144E6">
        <w:rPr>
          <w:b/>
          <w:i w:val="0"/>
          <w:sz w:val="20"/>
          <w:szCs w:val="20"/>
          <w:lang w:val="en-GB"/>
        </w:rPr>
        <w:t xml:space="preserve"> of modelling the elementary index as a linear </w:t>
      </w:r>
      <w:r w:rsidR="006144E6" w:rsidRPr="006144E6">
        <w:rPr>
          <w:b/>
          <w:i w:val="0"/>
          <w:sz w:val="20"/>
          <w:szCs w:val="20"/>
          <w:lang w:val="en-GB"/>
        </w:rPr>
        <w:t>function</w:t>
      </w:r>
      <w:r w:rsidRPr="006144E6">
        <w:rPr>
          <w:b/>
          <w:i w:val="0"/>
          <w:sz w:val="20"/>
          <w:szCs w:val="20"/>
          <w:lang w:val="en-GB"/>
        </w:rPr>
        <w:t xml:space="preserve"> of age</w:t>
      </w:r>
    </w:p>
    <w:tbl>
      <w:tblPr>
        <w:tblStyle w:val="TableGrid"/>
        <w:tblW w:w="0" w:type="auto"/>
        <w:tblLook w:val="04A0" w:firstRow="1" w:lastRow="0" w:firstColumn="1" w:lastColumn="0" w:noHBand="0" w:noVBand="1"/>
      </w:tblPr>
      <w:tblGrid>
        <w:gridCol w:w="1812"/>
        <w:gridCol w:w="1812"/>
        <w:gridCol w:w="1812"/>
        <w:gridCol w:w="1813"/>
        <w:gridCol w:w="1813"/>
      </w:tblGrid>
      <w:tr w:rsidR="00292B50" w:rsidRPr="006144E6" w14:paraId="3E1B4D32" w14:textId="77777777" w:rsidTr="00DC4BAC">
        <w:trPr>
          <w:trHeight w:val="282"/>
        </w:trPr>
        <w:tc>
          <w:tcPr>
            <w:tcW w:w="1812" w:type="dxa"/>
          </w:tcPr>
          <w:p w14:paraId="6E1CDE6F" w14:textId="77777777" w:rsidR="00292B50" w:rsidRPr="006058E5" w:rsidRDefault="00292B50" w:rsidP="00292B50">
            <w:pPr>
              <w:rPr>
                <w:sz w:val="20"/>
                <w:szCs w:val="20"/>
                <w:lang w:val="en-GB"/>
              </w:rPr>
            </w:pPr>
            <w:r w:rsidRPr="006058E5">
              <w:rPr>
                <w:sz w:val="20"/>
                <w:szCs w:val="20"/>
                <w:lang w:val="en-GB"/>
              </w:rPr>
              <w:t>Coefficients:</w:t>
            </w:r>
          </w:p>
        </w:tc>
        <w:tc>
          <w:tcPr>
            <w:tcW w:w="1812" w:type="dxa"/>
          </w:tcPr>
          <w:p w14:paraId="648E3F29" w14:textId="77777777" w:rsidR="00292B50" w:rsidRPr="006058E5" w:rsidRDefault="00292B50" w:rsidP="00292B50">
            <w:pPr>
              <w:rPr>
                <w:sz w:val="20"/>
                <w:szCs w:val="20"/>
                <w:lang w:val="en-GB"/>
              </w:rPr>
            </w:pPr>
          </w:p>
        </w:tc>
        <w:tc>
          <w:tcPr>
            <w:tcW w:w="1812" w:type="dxa"/>
          </w:tcPr>
          <w:p w14:paraId="4019E508" w14:textId="77777777" w:rsidR="00292B50" w:rsidRPr="006058E5" w:rsidRDefault="00292B50" w:rsidP="00292B50">
            <w:pPr>
              <w:rPr>
                <w:sz w:val="20"/>
                <w:szCs w:val="20"/>
                <w:lang w:val="en-GB"/>
              </w:rPr>
            </w:pPr>
          </w:p>
        </w:tc>
        <w:tc>
          <w:tcPr>
            <w:tcW w:w="1813" w:type="dxa"/>
          </w:tcPr>
          <w:p w14:paraId="3C743547" w14:textId="77777777" w:rsidR="00292B50" w:rsidRPr="006058E5" w:rsidRDefault="00292B50" w:rsidP="00292B50">
            <w:pPr>
              <w:rPr>
                <w:sz w:val="20"/>
                <w:szCs w:val="20"/>
                <w:lang w:val="en-GB"/>
              </w:rPr>
            </w:pPr>
          </w:p>
        </w:tc>
        <w:tc>
          <w:tcPr>
            <w:tcW w:w="1813" w:type="dxa"/>
          </w:tcPr>
          <w:p w14:paraId="512CC8AC" w14:textId="77777777" w:rsidR="00292B50" w:rsidRPr="006058E5" w:rsidRDefault="00292B50" w:rsidP="00292B50">
            <w:pPr>
              <w:rPr>
                <w:sz w:val="20"/>
                <w:szCs w:val="20"/>
                <w:lang w:val="en-GB"/>
              </w:rPr>
            </w:pPr>
          </w:p>
        </w:tc>
      </w:tr>
      <w:tr w:rsidR="00292B50" w:rsidRPr="006144E6" w14:paraId="5EA45277" w14:textId="77777777" w:rsidTr="00292B50">
        <w:tc>
          <w:tcPr>
            <w:tcW w:w="1812" w:type="dxa"/>
          </w:tcPr>
          <w:p w14:paraId="386D416B" w14:textId="77777777" w:rsidR="00292B50" w:rsidRPr="006058E5" w:rsidRDefault="00292B50" w:rsidP="00292B50">
            <w:pPr>
              <w:rPr>
                <w:sz w:val="20"/>
                <w:szCs w:val="20"/>
                <w:lang w:val="en-GB"/>
              </w:rPr>
            </w:pPr>
          </w:p>
        </w:tc>
        <w:tc>
          <w:tcPr>
            <w:tcW w:w="1812" w:type="dxa"/>
          </w:tcPr>
          <w:p w14:paraId="52737FEF" w14:textId="77777777" w:rsidR="00292B50" w:rsidRPr="006058E5" w:rsidRDefault="00292B50" w:rsidP="00292B50">
            <w:pPr>
              <w:rPr>
                <w:sz w:val="20"/>
                <w:szCs w:val="20"/>
                <w:lang w:val="en-GB"/>
              </w:rPr>
            </w:pPr>
            <w:r w:rsidRPr="006058E5">
              <w:rPr>
                <w:sz w:val="20"/>
                <w:szCs w:val="20"/>
                <w:lang w:val="en-GB"/>
              </w:rPr>
              <w:t>Estimate</w:t>
            </w:r>
          </w:p>
        </w:tc>
        <w:tc>
          <w:tcPr>
            <w:tcW w:w="1812" w:type="dxa"/>
          </w:tcPr>
          <w:p w14:paraId="33FFDA67" w14:textId="77777777" w:rsidR="00292B50" w:rsidRPr="006058E5" w:rsidRDefault="00292B50" w:rsidP="00292B50">
            <w:pPr>
              <w:rPr>
                <w:sz w:val="20"/>
                <w:szCs w:val="20"/>
                <w:lang w:val="en-GB"/>
              </w:rPr>
            </w:pPr>
            <w:r w:rsidRPr="006058E5">
              <w:rPr>
                <w:sz w:val="20"/>
                <w:szCs w:val="20"/>
                <w:lang w:val="en-GB"/>
              </w:rPr>
              <w:t>Std. Error</w:t>
            </w:r>
          </w:p>
        </w:tc>
        <w:tc>
          <w:tcPr>
            <w:tcW w:w="1813" w:type="dxa"/>
          </w:tcPr>
          <w:p w14:paraId="796A6E71" w14:textId="77777777" w:rsidR="00292B50" w:rsidRPr="006058E5" w:rsidRDefault="00292B50" w:rsidP="00292B50">
            <w:pPr>
              <w:rPr>
                <w:sz w:val="20"/>
                <w:szCs w:val="20"/>
                <w:lang w:val="en-GB"/>
              </w:rPr>
            </w:pPr>
            <w:r w:rsidRPr="006058E5">
              <w:rPr>
                <w:sz w:val="20"/>
                <w:szCs w:val="20"/>
                <w:lang w:val="en-GB"/>
              </w:rPr>
              <w:t>t value</w:t>
            </w:r>
          </w:p>
        </w:tc>
        <w:tc>
          <w:tcPr>
            <w:tcW w:w="1813" w:type="dxa"/>
          </w:tcPr>
          <w:p w14:paraId="031BDAC4" w14:textId="77777777" w:rsidR="00292B50" w:rsidRPr="006058E5" w:rsidRDefault="00292B50" w:rsidP="00292B50">
            <w:pPr>
              <w:rPr>
                <w:sz w:val="20"/>
                <w:szCs w:val="20"/>
                <w:lang w:val="en-GB"/>
              </w:rPr>
            </w:pPr>
            <w:r w:rsidRPr="006058E5">
              <w:rPr>
                <w:sz w:val="20"/>
                <w:szCs w:val="20"/>
                <w:lang w:val="en-GB"/>
              </w:rPr>
              <w:t>t value</w:t>
            </w:r>
          </w:p>
        </w:tc>
      </w:tr>
      <w:tr w:rsidR="00292B50" w:rsidRPr="006144E6" w14:paraId="21DD7FF1" w14:textId="77777777" w:rsidTr="00292B50">
        <w:tc>
          <w:tcPr>
            <w:tcW w:w="1812" w:type="dxa"/>
          </w:tcPr>
          <w:p w14:paraId="60FC8116" w14:textId="77777777" w:rsidR="00292B50" w:rsidRPr="006058E5" w:rsidRDefault="00292B50" w:rsidP="00292B50">
            <w:pPr>
              <w:rPr>
                <w:sz w:val="20"/>
                <w:szCs w:val="20"/>
                <w:lang w:val="en-GB"/>
              </w:rPr>
            </w:pPr>
            <w:r w:rsidRPr="006058E5">
              <w:rPr>
                <w:sz w:val="20"/>
                <w:szCs w:val="20"/>
                <w:lang w:val="en-GB"/>
              </w:rPr>
              <w:t>(Intercept)</w:t>
            </w:r>
          </w:p>
        </w:tc>
        <w:tc>
          <w:tcPr>
            <w:tcW w:w="1812" w:type="dxa"/>
          </w:tcPr>
          <w:p w14:paraId="51F12260" w14:textId="77777777" w:rsidR="00292B50" w:rsidRPr="006058E5" w:rsidRDefault="00292B50" w:rsidP="00292B50">
            <w:pPr>
              <w:rPr>
                <w:sz w:val="20"/>
                <w:szCs w:val="20"/>
                <w:lang w:val="en-GB"/>
              </w:rPr>
            </w:pPr>
            <w:r w:rsidRPr="006058E5">
              <w:rPr>
                <w:sz w:val="20"/>
                <w:szCs w:val="20"/>
                <w:lang w:val="en-GB"/>
              </w:rPr>
              <w:t>.00001</w:t>
            </w:r>
          </w:p>
        </w:tc>
        <w:tc>
          <w:tcPr>
            <w:tcW w:w="1812" w:type="dxa"/>
          </w:tcPr>
          <w:p w14:paraId="2AC0A09B" w14:textId="77777777" w:rsidR="00292B50" w:rsidRPr="006058E5" w:rsidRDefault="00292B50" w:rsidP="00292B50">
            <w:pPr>
              <w:rPr>
                <w:sz w:val="20"/>
                <w:szCs w:val="20"/>
                <w:lang w:val="en-GB"/>
              </w:rPr>
            </w:pPr>
            <w:r w:rsidRPr="006058E5">
              <w:rPr>
                <w:sz w:val="20"/>
                <w:szCs w:val="20"/>
                <w:lang w:val="en-GB"/>
              </w:rPr>
              <w:t>.000003</w:t>
            </w:r>
          </w:p>
        </w:tc>
        <w:tc>
          <w:tcPr>
            <w:tcW w:w="1813" w:type="dxa"/>
          </w:tcPr>
          <w:p w14:paraId="3ADE2B15" w14:textId="77777777" w:rsidR="00292B50" w:rsidRPr="006058E5" w:rsidRDefault="00292B50" w:rsidP="00292B50">
            <w:pPr>
              <w:rPr>
                <w:sz w:val="20"/>
                <w:szCs w:val="20"/>
                <w:lang w:val="en-GB"/>
              </w:rPr>
            </w:pPr>
            <w:r w:rsidRPr="006058E5">
              <w:rPr>
                <w:sz w:val="20"/>
                <w:szCs w:val="20"/>
                <w:lang w:val="en-GB"/>
              </w:rPr>
              <w:t>4.069</w:t>
            </w:r>
          </w:p>
        </w:tc>
        <w:tc>
          <w:tcPr>
            <w:tcW w:w="1813" w:type="dxa"/>
          </w:tcPr>
          <w:p w14:paraId="7827971F" w14:textId="77777777" w:rsidR="00292B50" w:rsidRPr="006058E5" w:rsidRDefault="00292B50" w:rsidP="00292B50">
            <w:pPr>
              <w:rPr>
                <w:sz w:val="20"/>
                <w:szCs w:val="20"/>
                <w:lang w:val="en-GB"/>
              </w:rPr>
            </w:pPr>
            <w:r w:rsidRPr="006058E5">
              <w:rPr>
                <w:sz w:val="20"/>
                <w:szCs w:val="20"/>
                <w:lang w:val="en-GB"/>
              </w:rPr>
              <w:t>.00008</w:t>
            </w:r>
          </w:p>
        </w:tc>
      </w:tr>
      <w:tr w:rsidR="00292B50" w:rsidRPr="006144E6" w14:paraId="271702CA" w14:textId="77777777" w:rsidTr="00292B50">
        <w:tc>
          <w:tcPr>
            <w:tcW w:w="1812" w:type="dxa"/>
          </w:tcPr>
          <w:p w14:paraId="498207CF" w14:textId="77777777" w:rsidR="00292B50" w:rsidRPr="006058E5" w:rsidRDefault="00292B50" w:rsidP="00292B50">
            <w:pPr>
              <w:rPr>
                <w:sz w:val="20"/>
                <w:szCs w:val="20"/>
                <w:lang w:val="en-GB"/>
              </w:rPr>
            </w:pPr>
            <w:r w:rsidRPr="006058E5">
              <w:rPr>
                <w:sz w:val="20"/>
                <w:szCs w:val="20"/>
                <w:lang w:val="en-GB"/>
              </w:rPr>
              <w:t>age</w:t>
            </w:r>
          </w:p>
        </w:tc>
        <w:tc>
          <w:tcPr>
            <w:tcW w:w="1812" w:type="dxa"/>
          </w:tcPr>
          <w:p w14:paraId="1C726013" w14:textId="77777777" w:rsidR="00292B50" w:rsidRPr="006058E5" w:rsidRDefault="00292B50" w:rsidP="00292B50">
            <w:pPr>
              <w:rPr>
                <w:sz w:val="20"/>
                <w:szCs w:val="20"/>
                <w:lang w:val="en-GB"/>
              </w:rPr>
            </w:pPr>
            <w:r w:rsidRPr="006058E5">
              <w:rPr>
                <w:sz w:val="20"/>
                <w:szCs w:val="20"/>
                <w:lang w:val="en-GB"/>
              </w:rPr>
              <w:t>8.3e-08</w:t>
            </w:r>
          </w:p>
        </w:tc>
        <w:tc>
          <w:tcPr>
            <w:tcW w:w="1812" w:type="dxa"/>
          </w:tcPr>
          <w:p w14:paraId="6ADC8481" w14:textId="77777777" w:rsidR="00292B50" w:rsidRPr="006058E5" w:rsidRDefault="00292B50" w:rsidP="00292B50">
            <w:pPr>
              <w:rPr>
                <w:sz w:val="20"/>
                <w:szCs w:val="20"/>
                <w:lang w:val="en-GB"/>
              </w:rPr>
            </w:pPr>
            <w:r w:rsidRPr="006058E5">
              <w:rPr>
                <w:sz w:val="20"/>
                <w:szCs w:val="20"/>
                <w:lang w:val="en-GB"/>
              </w:rPr>
              <w:t>4.6e-08</w:t>
            </w:r>
          </w:p>
        </w:tc>
        <w:tc>
          <w:tcPr>
            <w:tcW w:w="1813" w:type="dxa"/>
          </w:tcPr>
          <w:p w14:paraId="28D42D45" w14:textId="77777777" w:rsidR="00292B50" w:rsidRPr="006058E5" w:rsidRDefault="00292B50" w:rsidP="00292B50">
            <w:pPr>
              <w:rPr>
                <w:sz w:val="20"/>
                <w:szCs w:val="20"/>
                <w:lang w:val="en-GB"/>
              </w:rPr>
            </w:pPr>
            <w:r w:rsidRPr="006058E5">
              <w:rPr>
                <w:sz w:val="20"/>
                <w:szCs w:val="20"/>
                <w:lang w:val="en-GB"/>
              </w:rPr>
              <w:t>1.787</w:t>
            </w:r>
          </w:p>
        </w:tc>
        <w:tc>
          <w:tcPr>
            <w:tcW w:w="1813" w:type="dxa"/>
          </w:tcPr>
          <w:p w14:paraId="6ED972D3" w14:textId="77777777" w:rsidR="00292B50" w:rsidRPr="006058E5" w:rsidRDefault="00292B50" w:rsidP="00292B50">
            <w:pPr>
              <w:rPr>
                <w:sz w:val="20"/>
                <w:szCs w:val="20"/>
                <w:lang w:val="en-GB"/>
              </w:rPr>
            </w:pPr>
            <w:r w:rsidRPr="006058E5">
              <w:rPr>
                <w:sz w:val="20"/>
                <w:szCs w:val="20"/>
                <w:lang w:val="en-GB"/>
              </w:rPr>
              <w:t>0.0762</w:t>
            </w:r>
          </w:p>
        </w:tc>
      </w:tr>
    </w:tbl>
    <w:p w14:paraId="38D2B5DB" w14:textId="77777777" w:rsidR="009A0247" w:rsidRPr="006058E5" w:rsidRDefault="009A0247" w:rsidP="00292B50">
      <w:pPr>
        <w:rPr>
          <w:sz w:val="20"/>
          <w:szCs w:val="20"/>
          <w:lang w:val="en-GB"/>
        </w:rPr>
      </w:pPr>
      <w:r w:rsidRPr="006058E5">
        <w:rPr>
          <w:sz w:val="20"/>
          <w:szCs w:val="20"/>
          <w:lang w:val="en-GB"/>
        </w:rPr>
        <w:t>Residual standard error: .00002, on 132 degrees of freedom</w:t>
      </w:r>
    </w:p>
    <w:p w14:paraId="06976E6D" w14:textId="77777777" w:rsidR="009A0247" w:rsidRPr="006144E6" w:rsidRDefault="009A0247" w:rsidP="00292B50">
      <w:pPr>
        <w:rPr>
          <w:szCs w:val="24"/>
          <w:lang w:val="en-GB"/>
        </w:rPr>
      </w:pPr>
      <w:r w:rsidRPr="006144E6">
        <w:rPr>
          <w:szCs w:val="24"/>
          <w:lang w:val="en-GB"/>
        </w:rPr>
        <w:t xml:space="preserve">Outliers do exist, for both very short and very long life of items, as illustrated in </w:t>
      </w:r>
      <w:r w:rsidR="00D22DEC" w:rsidRPr="006144E6">
        <w:rPr>
          <w:szCs w:val="24"/>
          <w:lang w:val="en-GB"/>
        </w:rPr>
        <w:fldChar w:fldCharType="begin"/>
      </w:r>
      <w:r w:rsidR="00D22DEC" w:rsidRPr="006144E6">
        <w:rPr>
          <w:szCs w:val="24"/>
          <w:lang w:val="en-GB"/>
        </w:rPr>
        <w:instrText xml:space="preserve"> REF _Ref8635986 \h  \* MERGEFORMAT </w:instrText>
      </w:r>
      <w:r w:rsidR="00D22DEC" w:rsidRPr="006144E6">
        <w:rPr>
          <w:szCs w:val="24"/>
          <w:lang w:val="en-GB"/>
        </w:rPr>
      </w:r>
      <w:r w:rsidR="00D22DEC" w:rsidRPr="006144E6">
        <w:rPr>
          <w:szCs w:val="24"/>
          <w:lang w:val="en-GB"/>
        </w:rPr>
        <w:fldChar w:fldCharType="separate"/>
      </w:r>
      <w:r w:rsidR="005747A4" w:rsidRPr="005747A4">
        <w:rPr>
          <w:szCs w:val="24"/>
          <w:lang w:val="en-GB"/>
        </w:rPr>
        <w:t xml:space="preserve">Figure </w:t>
      </w:r>
      <w:r w:rsidR="005747A4" w:rsidRPr="005747A4">
        <w:rPr>
          <w:noProof/>
          <w:szCs w:val="24"/>
          <w:lang w:val="en-GB"/>
        </w:rPr>
        <w:t>1</w:t>
      </w:r>
      <w:r w:rsidR="00D22DEC" w:rsidRPr="006144E6">
        <w:rPr>
          <w:szCs w:val="24"/>
          <w:lang w:val="en-GB"/>
        </w:rPr>
        <w:fldChar w:fldCharType="end"/>
      </w:r>
      <w:r w:rsidR="00D22DEC" w:rsidRPr="006144E6">
        <w:rPr>
          <w:szCs w:val="24"/>
          <w:lang w:val="en-GB"/>
        </w:rPr>
        <w:t>.</w:t>
      </w:r>
      <w:r w:rsidRPr="006144E6">
        <w:rPr>
          <w:szCs w:val="24"/>
          <w:lang w:val="en-GB"/>
        </w:rPr>
        <w:t xml:space="preserve"> This figure represents the variation with items' age for the mean values of the index numbers of elementary aggregates in the private economical sector, at a given time.</w:t>
      </w:r>
    </w:p>
    <w:tbl>
      <w:tblPr>
        <w:tblW w:w="9017" w:type="dxa"/>
        <w:tblInd w:w="55" w:type="dxa"/>
        <w:tblCellMar>
          <w:left w:w="70" w:type="dxa"/>
          <w:right w:w="70" w:type="dxa"/>
        </w:tblCellMar>
        <w:tblLook w:val="04A0" w:firstRow="1" w:lastRow="0" w:firstColumn="1" w:lastColumn="0" w:noHBand="0" w:noVBand="1"/>
      </w:tblPr>
      <w:tblGrid>
        <w:gridCol w:w="9017"/>
      </w:tblGrid>
      <w:tr w:rsidR="009A0247" w:rsidRPr="006144E6" w14:paraId="3CF07F11" w14:textId="77777777" w:rsidTr="00D22DEC">
        <w:trPr>
          <w:trHeight w:val="288"/>
        </w:trPr>
        <w:tc>
          <w:tcPr>
            <w:tcW w:w="9017" w:type="dxa"/>
            <w:shd w:val="clear" w:color="auto" w:fill="auto"/>
            <w:noWrap/>
            <w:vAlign w:val="bottom"/>
            <w:hideMark/>
          </w:tcPr>
          <w:p w14:paraId="7A73F33B" w14:textId="77777777" w:rsidR="00D22DEC" w:rsidRPr="006144E6" w:rsidRDefault="00D22DEC" w:rsidP="00D22DEC">
            <w:pPr>
              <w:pStyle w:val="Caption"/>
              <w:keepNext/>
              <w:rPr>
                <w:lang w:val="en-GB"/>
              </w:rPr>
            </w:pPr>
            <w:bookmarkStart w:id="3" w:name="_Ref8635986"/>
            <w:r w:rsidRPr="006144E6">
              <w:rPr>
                <w:b/>
                <w:i w:val="0"/>
                <w:sz w:val="20"/>
                <w:szCs w:val="20"/>
                <w:lang w:val="en-GB"/>
              </w:rPr>
              <w:lastRenderedPageBreak/>
              <w:t xml:space="preserve">Figure </w:t>
            </w:r>
            <w:r w:rsidRPr="006144E6">
              <w:rPr>
                <w:b/>
                <w:i w:val="0"/>
                <w:sz w:val="20"/>
                <w:szCs w:val="20"/>
                <w:lang w:val="en-GB"/>
              </w:rPr>
              <w:fldChar w:fldCharType="begin"/>
            </w:r>
            <w:r w:rsidRPr="006144E6">
              <w:rPr>
                <w:b/>
                <w:i w:val="0"/>
                <w:sz w:val="20"/>
                <w:szCs w:val="20"/>
                <w:lang w:val="en-GB"/>
              </w:rPr>
              <w:instrText xml:space="preserve"> SEQ Figure \* ARABIC </w:instrText>
            </w:r>
            <w:r w:rsidRPr="006144E6">
              <w:rPr>
                <w:b/>
                <w:i w:val="0"/>
                <w:sz w:val="20"/>
                <w:szCs w:val="20"/>
                <w:lang w:val="en-GB"/>
              </w:rPr>
              <w:fldChar w:fldCharType="separate"/>
            </w:r>
            <w:r w:rsidR="005747A4">
              <w:rPr>
                <w:b/>
                <w:i w:val="0"/>
                <w:noProof/>
                <w:sz w:val="20"/>
                <w:szCs w:val="20"/>
                <w:lang w:val="en-GB"/>
              </w:rPr>
              <w:t>1</w:t>
            </w:r>
            <w:r w:rsidRPr="006144E6">
              <w:rPr>
                <w:b/>
                <w:i w:val="0"/>
                <w:sz w:val="20"/>
                <w:szCs w:val="20"/>
                <w:lang w:val="en-GB"/>
              </w:rPr>
              <w:fldChar w:fldCharType="end"/>
            </w:r>
            <w:bookmarkEnd w:id="3"/>
            <w:r w:rsidRPr="006144E6">
              <w:rPr>
                <w:b/>
                <w:i w:val="0"/>
                <w:sz w:val="20"/>
                <w:szCs w:val="20"/>
                <w:lang w:val="en-GB"/>
              </w:rPr>
              <w:t>. Life cycle effects. Mean values of index numbers, by age of items, at a given time</w:t>
            </w:r>
            <w:r w:rsidRPr="006144E6">
              <w:rPr>
                <w:sz w:val="20"/>
                <w:szCs w:val="20"/>
                <w:lang w:val="en-GB"/>
              </w:rPr>
              <w:t>.</w:t>
            </w:r>
          </w:p>
          <w:p w14:paraId="4D472202" w14:textId="77777777" w:rsidR="009A0247" w:rsidRPr="006144E6" w:rsidRDefault="009A0247" w:rsidP="00D22DEC">
            <w:pPr>
              <w:keepNext/>
              <w:rPr>
                <w:szCs w:val="24"/>
                <w:lang w:val="en-GB"/>
              </w:rPr>
            </w:pPr>
            <w:r w:rsidRPr="006144E6">
              <w:rPr>
                <w:noProof/>
                <w:lang w:val="is-IS" w:eastAsia="is-IS"/>
              </w:rPr>
              <w:drawing>
                <wp:inline distT="0" distB="0" distL="0" distR="0" wp14:anchorId="2D6E1B60" wp14:editId="741CFF46">
                  <wp:extent cx="5652000" cy="2808000"/>
                  <wp:effectExtent l="0" t="0" r="63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1478EEE" w14:textId="77777777" w:rsidR="00D22DEC" w:rsidRPr="006144E6" w:rsidRDefault="00D22DEC" w:rsidP="00D22DEC">
      <w:pPr>
        <w:rPr>
          <w:szCs w:val="24"/>
          <w:lang w:val="en-GB"/>
        </w:rPr>
      </w:pPr>
      <w:r w:rsidRPr="006144E6">
        <w:rPr>
          <w:szCs w:val="24"/>
          <w:lang w:val="en-GB"/>
        </w:rPr>
        <w:t xml:space="preserve">The following influence of the life cycle (age) of items was observed: the distribution of elementary index values are very similar for each fixed age of items, at various points in time; the differences in distributions of the elementary index numbers for different ages at fixed points in time, are statistically significant but very small. The aggregated index numbers </w:t>
      </w:r>
      <w:proofErr w:type="gramStart"/>
      <w:r w:rsidRPr="006144E6">
        <w:rPr>
          <w:szCs w:val="24"/>
          <w:lang w:val="en-GB"/>
        </w:rPr>
        <w:t>may be still affected</w:t>
      </w:r>
      <w:proofErr w:type="gramEnd"/>
      <w:r w:rsidRPr="006144E6">
        <w:rPr>
          <w:szCs w:val="24"/>
          <w:lang w:val="en-GB"/>
        </w:rPr>
        <w:t xml:space="preserve"> by the age composition of the sample if this composition is significantly different from the one observed in the population.</w:t>
      </w:r>
      <w:r w:rsidR="006144E6">
        <w:rPr>
          <w:szCs w:val="24"/>
          <w:lang w:val="en-GB"/>
        </w:rPr>
        <w:t xml:space="preserve"> This</w:t>
      </w:r>
      <w:r w:rsidR="006144E6" w:rsidRPr="006144E6">
        <w:rPr>
          <w:szCs w:val="24"/>
          <w:lang w:val="en-GB"/>
        </w:rPr>
        <w:t xml:space="preserve"> </w:t>
      </w:r>
      <w:proofErr w:type="gramStart"/>
      <w:r w:rsidR="006144E6" w:rsidRPr="006144E6">
        <w:rPr>
          <w:szCs w:val="24"/>
          <w:lang w:val="en-GB"/>
        </w:rPr>
        <w:t>might be addressed</w:t>
      </w:r>
      <w:proofErr w:type="gramEnd"/>
      <w:r w:rsidR="006144E6" w:rsidRPr="006144E6">
        <w:rPr>
          <w:szCs w:val="24"/>
          <w:lang w:val="en-GB"/>
        </w:rPr>
        <w:t xml:space="preserve"> by an adequate sample refresh.</w:t>
      </w:r>
    </w:p>
    <w:p w14:paraId="614345E8" w14:textId="77777777" w:rsidR="009A0247" w:rsidRPr="006144E6" w:rsidRDefault="00292B50" w:rsidP="009A0247">
      <w:pPr>
        <w:rPr>
          <w:lang w:val="en-GB"/>
        </w:rPr>
      </w:pPr>
      <w:r w:rsidRPr="006144E6">
        <w:rPr>
          <w:lang w:val="en-GB"/>
        </w:rPr>
        <w:t>For full explanation on</w:t>
      </w:r>
      <w:r w:rsidR="00D22DEC" w:rsidRPr="006144E6">
        <w:rPr>
          <w:lang w:val="en-GB"/>
        </w:rPr>
        <w:t xml:space="preserve"> methods of</w:t>
      </w:r>
      <w:r w:rsidRPr="006144E6">
        <w:rPr>
          <w:lang w:val="en-GB"/>
        </w:rPr>
        <w:t xml:space="preserve"> </w:t>
      </w:r>
      <w:r w:rsidR="00D22DEC" w:rsidRPr="006144E6">
        <w:rPr>
          <w:lang w:val="en-GB"/>
        </w:rPr>
        <w:t>assessment,</w:t>
      </w:r>
      <w:r w:rsidRPr="006144E6">
        <w:rPr>
          <w:lang w:val="en-GB"/>
        </w:rPr>
        <w:t xml:space="preserve"> see Statistics Iceland (2018).</w:t>
      </w:r>
    </w:p>
    <w:p w14:paraId="25C6FA20" w14:textId="77777777" w:rsidR="0030586C" w:rsidRPr="006144E6" w:rsidRDefault="0030586C" w:rsidP="0099678F">
      <w:pPr>
        <w:pStyle w:val="Heading2"/>
      </w:pPr>
      <w:r w:rsidRPr="006144E6">
        <w:t>Combining bilateral index information into time series of multiple time points</w:t>
      </w:r>
    </w:p>
    <w:p w14:paraId="5D76621C" w14:textId="77777777" w:rsidR="0030586C" w:rsidRPr="006144E6" w:rsidRDefault="0030586C" w:rsidP="00040A8B">
      <w:pPr>
        <w:rPr>
          <w:lang w:val="en-GB"/>
        </w:rPr>
      </w:pPr>
      <w:r w:rsidRPr="006144E6">
        <w:rPr>
          <w:lang w:val="en-GB"/>
        </w:rPr>
        <w:t xml:space="preserve">This </w:t>
      </w:r>
      <w:proofErr w:type="gramStart"/>
      <w:r w:rsidRPr="006144E6">
        <w:rPr>
          <w:lang w:val="en-GB"/>
        </w:rPr>
        <w:t>may be done</w:t>
      </w:r>
      <w:proofErr w:type="gramEnd"/>
      <w:r w:rsidRPr="006144E6">
        <w:rPr>
          <w:lang w:val="en-GB"/>
        </w:rPr>
        <w:t xml:space="preserve"> by using direct, chained or multilate</w:t>
      </w:r>
      <w:r w:rsidR="00040A8B">
        <w:rPr>
          <w:lang w:val="en-GB"/>
        </w:rPr>
        <w:t xml:space="preserve">ral index numbers. The IWPI uses a chaining method. The effect of the chaining </w:t>
      </w:r>
      <w:proofErr w:type="gramStart"/>
      <w:r w:rsidR="00040A8B">
        <w:rPr>
          <w:lang w:val="en-GB"/>
        </w:rPr>
        <w:t>was explored</w:t>
      </w:r>
      <w:proofErr w:type="gramEnd"/>
      <w:r w:rsidR="00040A8B">
        <w:rPr>
          <w:lang w:val="en-GB"/>
        </w:rPr>
        <w:t xml:space="preserve"> in the internal review of the IWPI</w:t>
      </w:r>
      <w:r w:rsidR="00DC4BAC">
        <w:rPr>
          <w:lang w:val="en-GB"/>
        </w:rPr>
        <w:t xml:space="preserve"> (Statistics Iceland 2018)</w:t>
      </w:r>
      <w:r w:rsidR="00040A8B">
        <w:rPr>
          <w:lang w:val="en-GB"/>
        </w:rPr>
        <w:t>.</w:t>
      </w:r>
    </w:p>
    <w:p w14:paraId="219EA6C3" w14:textId="77777777" w:rsidR="004876B2" w:rsidRPr="006144E6" w:rsidRDefault="004876B2" w:rsidP="00746F81">
      <w:pPr>
        <w:pStyle w:val="Heading3"/>
      </w:pPr>
      <w:bookmarkStart w:id="4" w:name="_Toc522106672"/>
      <w:r w:rsidRPr="006144E6">
        <w:t xml:space="preserve">Estimating the chaining </w:t>
      </w:r>
      <w:bookmarkEnd w:id="4"/>
      <w:r w:rsidR="00A53B3B" w:rsidRPr="006144E6">
        <w:t>effect</w:t>
      </w:r>
    </w:p>
    <w:p w14:paraId="5E705178" w14:textId="77777777" w:rsidR="004876B2" w:rsidRPr="006144E6" w:rsidRDefault="004876B2" w:rsidP="00746F81">
      <w:pPr>
        <w:pStyle w:val="Heading4"/>
      </w:pPr>
      <w:r w:rsidRPr="006144E6">
        <w:t>Short term chaining</w:t>
      </w:r>
    </w:p>
    <w:p w14:paraId="15F23F24" w14:textId="77777777" w:rsidR="004876B2" w:rsidRPr="006144E6" w:rsidRDefault="004876B2" w:rsidP="004876B2">
      <w:pPr>
        <w:rPr>
          <w:szCs w:val="24"/>
          <w:lang w:val="en-GB"/>
        </w:rPr>
      </w:pPr>
      <w:r w:rsidRPr="006144E6">
        <w:rPr>
          <w:szCs w:val="24"/>
          <w:lang w:val="en-GB"/>
        </w:rPr>
        <w:t>Numerical calculations of the drift size on main economic sectors were performed</w:t>
      </w:r>
      <w:r w:rsidR="006058E5">
        <w:rPr>
          <w:szCs w:val="24"/>
          <w:lang w:val="en-GB"/>
        </w:rPr>
        <w:t xml:space="preserve"> (Statistics Iceland, 2018)</w:t>
      </w:r>
      <w:r w:rsidRPr="006144E6">
        <w:rPr>
          <w:szCs w:val="24"/>
          <w:lang w:val="en-GB"/>
        </w:rPr>
        <w:t>, by comparing chained index numbers with direct ones for a linking period of only three months, i</w:t>
      </w:r>
      <w:r w:rsidR="00040A8B">
        <w:rPr>
          <w:szCs w:val="24"/>
          <w:lang w:val="en-GB"/>
        </w:rPr>
        <w:t>n order to illustrate the short-</w:t>
      </w:r>
      <w:r w:rsidRPr="006144E6">
        <w:rPr>
          <w:szCs w:val="24"/>
          <w:lang w:val="en-GB"/>
        </w:rPr>
        <w:t>term drift.</w:t>
      </w:r>
    </w:p>
    <w:p w14:paraId="096CF3B1" w14:textId="77777777" w:rsidR="004876B2" w:rsidRPr="006144E6" w:rsidRDefault="00040A8B" w:rsidP="004876B2">
      <w:pPr>
        <w:rPr>
          <w:rFonts w:eastAsiaTheme="minorEastAsia"/>
          <w:szCs w:val="24"/>
          <w:lang w:val="en-GB"/>
        </w:rPr>
      </w:pPr>
      <w:r w:rsidRPr="00040A8B">
        <w:rPr>
          <w:rFonts w:eastAsiaTheme="minorEastAsia"/>
          <w:szCs w:val="24"/>
          <w:lang w:val="en-GB"/>
        </w:rPr>
        <w:lastRenderedPageBreak/>
        <w:fldChar w:fldCharType="begin"/>
      </w:r>
      <w:r w:rsidRPr="00040A8B">
        <w:rPr>
          <w:rFonts w:eastAsiaTheme="minorEastAsia"/>
          <w:szCs w:val="24"/>
          <w:lang w:val="en-GB"/>
        </w:rPr>
        <w:instrText xml:space="preserve"> REF _Ref8639384 \h  \* MERGEFORMAT </w:instrText>
      </w:r>
      <w:r w:rsidRPr="00040A8B">
        <w:rPr>
          <w:rFonts w:eastAsiaTheme="minorEastAsia"/>
          <w:szCs w:val="24"/>
          <w:lang w:val="en-GB"/>
        </w:rPr>
      </w:r>
      <w:r w:rsidRPr="00040A8B">
        <w:rPr>
          <w:rFonts w:eastAsiaTheme="minorEastAsia"/>
          <w:szCs w:val="24"/>
          <w:lang w:val="en-GB"/>
        </w:rPr>
        <w:fldChar w:fldCharType="separate"/>
      </w:r>
      <w:r w:rsidR="005747A4" w:rsidRPr="005747A4">
        <w:rPr>
          <w:szCs w:val="24"/>
          <w:lang w:val="en-GB"/>
        </w:rPr>
        <w:t xml:space="preserve">Figure </w:t>
      </w:r>
      <w:proofErr w:type="gramStart"/>
      <w:r w:rsidR="005747A4" w:rsidRPr="005747A4">
        <w:rPr>
          <w:szCs w:val="24"/>
          <w:lang w:val="en-GB"/>
        </w:rPr>
        <w:t>2</w:t>
      </w:r>
      <w:proofErr w:type="gramEnd"/>
      <w:r w:rsidRPr="00040A8B">
        <w:rPr>
          <w:rFonts w:eastAsiaTheme="minorEastAsia"/>
          <w:szCs w:val="24"/>
          <w:lang w:val="en-GB"/>
        </w:rPr>
        <w:fldChar w:fldCharType="end"/>
      </w:r>
      <w:r>
        <w:rPr>
          <w:rFonts w:eastAsiaTheme="minorEastAsia"/>
          <w:szCs w:val="24"/>
          <w:lang w:val="en-GB"/>
        </w:rPr>
        <w:t xml:space="preserve"> </w:t>
      </w:r>
      <w:r w:rsidR="004876B2" w:rsidRPr="006144E6">
        <w:rPr>
          <w:rFonts w:eastAsiaTheme="minorEastAsia"/>
          <w:szCs w:val="24"/>
          <w:lang w:val="en-GB"/>
        </w:rPr>
        <w:t>shows that the values of the direct and chained index changes b</w:t>
      </w:r>
      <w:r>
        <w:rPr>
          <w:rFonts w:eastAsiaTheme="minorEastAsia"/>
          <w:szCs w:val="24"/>
          <w:lang w:val="en-GB"/>
        </w:rPr>
        <w:t xml:space="preserve">etween two time points </w:t>
      </w:r>
      <w:r w:rsidR="004876B2" w:rsidRPr="006144E6">
        <w:rPr>
          <w:rFonts w:eastAsiaTheme="minorEastAsia"/>
          <w:szCs w:val="24"/>
          <w:lang w:val="en-GB"/>
        </w:rPr>
        <w:t>are close to each other but the direct index variation is smaller than the chained one, especially for high values of both index changes. These higher values are however much fewer as well.</w:t>
      </w:r>
      <w:r w:rsidR="006058E5">
        <w:rPr>
          <w:rFonts w:eastAsiaTheme="minorEastAsia"/>
          <w:szCs w:val="24"/>
          <w:lang w:val="en-GB"/>
        </w:rPr>
        <w:t xml:space="preserve"> The data is for the private sector</w:t>
      </w:r>
      <w:r w:rsidR="006058E5" w:rsidRPr="006058E5">
        <w:rPr>
          <w:rFonts w:eastAsiaTheme="minorEastAsia"/>
          <w:szCs w:val="24"/>
          <w:lang w:val="en-GB"/>
        </w:rPr>
        <w:t xml:space="preserve"> where the red line presents zero difference</w:t>
      </w:r>
      <w:r w:rsidR="006058E5">
        <w:rPr>
          <w:rFonts w:eastAsiaTheme="minorEastAsia"/>
          <w:szCs w:val="24"/>
          <w:lang w:val="en-GB"/>
        </w:rPr>
        <w:t>.</w:t>
      </w:r>
    </w:p>
    <w:p w14:paraId="33CD75D7" w14:textId="77777777" w:rsidR="00040A8B" w:rsidRPr="00040A8B" w:rsidRDefault="00040A8B" w:rsidP="00040A8B">
      <w:pPr>
        <w:pStyle w:val="Caption"/>
        <w:keepNext/>
        <w:rPr>
          <w:b/>
          <w:i w:val="0"/>
          <w:sz w:val="20"/>
          <w:szCs w:val="20"/>
          <w:lang w:val="en-GB"/>
        </w:rPr>
      </w:pPr>
      <w:bookmarkStart w:id="5" w:name="_Ref8639384"/>
      <w:r w:rsidRPr="00040A8B">
        <w:rPr>
          <w:b/>
          <w:i w:val="0"/>
          <w:sz w:val="20"/>
          <w:szCs w:val="20"/>
          <w:lang w:val="en-GB"/>
        </w:rPr>
        <w:t xml:space="preserve">Figure </w:t>
      </w:r>
      <w:r w:rsidRPr="00040A8B">
        <w:rPr>
          <w:b/>
          <w:i w:val="0"/>
          <w:sz w:val="20"/>
          <w:szCs w:val="20"/>
          <w:lang w:val="en-GB"/>
        </w:rPr>
        <w:fldChar w:fldCharType="begin"/>
      </w:r>
      <w:r w:rsidRPr="00040A8B">
        <w:rPr>
          <w:b/>
          <w:i w:val="0"/>
          <w:sz w:val="20"/>
          <w:szCs w:val="20"/>
          <w:lang w:val="en-GB"/>
        </w:rPr>
        <w:instrText xml:space="preserve"> SEQ Figure \* ARABIC </w:instrText>
      </w:r>
      <w:r w:rsidRPr="00040A8B">
        <w:rPr>
          <w:b/>
          <w:i w:val="0"/>
          <w:sz w:val="20"/>
          <w:szCs w:val="20"/>
          <w:lang w:val="en-GB"/>
        </w:rPr>
        <w:fldChar w:fldCharType="separate"/>
      </w:r>
      <w:r w:rsidR="005747A4">
        <w:rPr>
          <w:b/>
          <w:i w:val="0"/>
          <w:noProof/>
          <w:sz w:val="20"/>
          <w:szCs w:val="20"/>
          <w:lang w:val="en-GB"/>
        </w:rPr>
        <w:t>2</w:t>
      </w:r>
      <w:r w:rsidRPr="00040A8B">
        <w:rPr>
          <w:b/>
          <w:i w:val="0"/>
          <w:sz w:val="20"/>
          <w:szCs w:val="20"/>
          <w:lang w:val="en-GB"/>
        </w:rPr>
        <w:fldChar w:fldCharType="end"/>
      </w:r>
      <w:bookmarkEnd w:id="5"/>
      <w:r w:rsidRPr="00040A8B">
        <w:rPr>
          <w:b/>
          <w:i w:val="0"/>
          <w:sz w:val="20"/>
          <w:szCs w:val="20"/>
          <w:lang w:val="en-GB"/>
        </w:rPr>
        <w:t>. Chained versus direct index vari</w:t>
      </w:r>
      <w:r w:rsidR="006058E5">
        <w:rPr>
          <w:b/>
          <w:i w:val="0"/>
          <w:sz w:val="20"/>
          <w:szCs w:val="20"/>
          <w:lang w:val="en-GB"/>
        </w:rPr>
        <w:t>ations.</w:t>
      </w:r>
    </w:p>
    <w:p w14:paraId="6C2E76D8" w14:textId="77777777" w:rsidR="004876B2" w:rsidRPr="006144E6" w:rsidRDefault="004876B2" w:rsidP="004876B2">
      <w:pPr>
        <w:keepNext/>
        <w:rPr>
          <w:szCs w:val="24"/>
          <w:lang w:val="en-GB"/>
        </w:rPr>
      </w:pPr>
      <w:r w:rsidRPr="006144E6">
        <w:rPr>
          <w:noProof/>
          <w:lang w:val="is-IS" w:eastAsia="is-IS"/>
        </w:rPr>
        <w:drawing>
          <wp:inline distT="0" distB="0" distL="0" distR="0" wp14:anchorId="177A12A0" wp14:editId="412930B5">
            <wp:extent cx="5652000" cy="28080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923015" w14:textId="77777777" w:rsidR="004876B2" w:rsidRPr="006144E6" w:rsidRDefault="008A44A9" w:rsidP="00746F81">
      <w:pPr>
        <w:pStyle w:val="Heading4"/>
      </w:pPr>
      <w:r>
        <w:t>Medium</w:t>
      </w:r>
      <w:r w:rsidR="004876B2" w:rsidRPr="006144E6">
        <w:t xml:space="preserve"> term chaining</w:t>
      </w:r>
    </w:p>
    <w:p w14:paraId="7C4B79F4" w14:textId="77777777" w:rsidR="004876B2" w:rsidRPr="006144E6" w:rsidRDefault="006058E5" w:rsidP="004876B2">
      <w:pPr>
        <w:rPr>
          <w:rFonts w:eastAsiaTheme="minorEastAsia"/>
          <w:szCs w:val="24"/>
          <w:lang w:val="en-GB"/>
        </w:rPr>
      </w:pPr>
      <w:r>
        <w:rPr>
          <w:szCs w:val="24"/>
          <w:lang w:val="en-GB"/>
        </w:rPr>
        <w:t>For the long-</w:t>
      </w:r>
      <w:r w:rsidR="004876B2" w:rsidRPr="006144E6">
        <w:rPr>
          <w:szCs w:val="24"/>
          <w:lang w:val="en-GB"/>
        </w:rPr>
        <w:t>term drift illustration, periods of one, two and three years (during 2016-2018) were analysed and the error values found for the index number were still the same size as the rounding errors. It is worth pointing out that the same effec</w:t>
      </w:r>
      <w:r>
        <w:rPr>
          <w:szCs w:val="24"/>
          <w:lang w:val="en-GB"/>
        </w:rPr>
        <w:t xml:space="preserve">t size </w:t>
      </w:r>
      <w:proofErr w:type="gramStart"/>
      <w:r>
        <w:rPr>
          <w:szCs w:val="24"/>
          <w:lang w:val="en-GB"/>
        </w:rPr>
        <w:t>has been found</w:t>
      </w:r>
      <w:proofErr w:type="gramEnd"/>
      <w:r>
        <w:rPr>
          <w:szCs w:val="24"/>
          <w:lang w:val="en-GB"/>
        </w:rPr>
        <w:t xml:space="preserve"> for short-</w:t>
      </w:r>
      <w:r w:rsidR="004876B2" w:rsidRPr="006144E6">
        <w:rPr>
          <w:szCs w:val="24"/>
          <w:lang w:val="en-GB"/>
        </w:rPr>
        <w:t xml:space="preserve">term intervals, as described in the above paragraphs. This shows that the drift does not accumulate with time for reasonable time series data of prices and weights, at least for moderately long (few years) </w:t>
      </w:r>
      <w:r w:rsidRPr="006144E6">
        <w:rPr>
          <w:szCs w:val="24"/>
          <w:lang w:val="en-GB"/>
        </w:rPr>
        <w:t>periods</w:t>
      </w:r>
      <w:r w:rsidR="004876B2" w:rsidRPr="006144E6">
        <w:rPr>
          <w:szCs w:val="24"/>
          <w:lang w:val="en-GB"/>
        </w:rPr>
        <w:t xml:space="preserve">. </w:t>
      </w:r>
    </w:p>
    <w:p w14:paraId="76928E28" w14:textId="77777777" w:rsidR="006058E5" w:rsidRPr="006058E5" w:rsidRDefault="006058E5" w:rsidP="006058E5">
      <w:pPr>
        <w:pStyle w:val="Caption"/>
        <w:keepNext/>
        <w:rPr>
          <w:b/>
          <w:i w:val="0"/>
          <w:sz w:val="20"/>
          <w:szCs w:val="20"/>
          <w:lang w:val="en-GB"/>
        </w:rPr>
      </w:pPr>
      <w:bookmarkStart w:id="6" w:name="_Ref8639808"/>
      <w:r w:rsidRPr="006058E5">
        <w:rPr>
          <w:b/>
          <w:i w:val="0"/>
          <w:sz w:val="20"/>
          <w:szCs w:val="20"/>
          <w:lang w:val="en-GB"/>
        </w:rPr>
        <w:lastRenderedPageBreak/>
        <w:t xml:space="preserve">Figure </w:t>
      </w:r>
      <w:r w:rsidRPr="006058E5">
        <w:rPr>
          <w:b/>
          <w:i w:val="0"/>
          <w:sz w:val="20"/>
          <w:szCs w:val="20"/>
          <w:lang w:val="en-GB"/>
        </w:rPr>
        <w:fldChar w:fldCharType="begin"/>
      </w:r>
      <w:r w:rsidRPr="006058E5">
        <w:rPr>
          <w:b/>
          <w:i w:val="0"/>
          <w:sz w:val="20"/>
          <w:szCs w:val="20"/>
          <w:lang w:val="en-GB"/>
        </w:rPr>
        <w:instrText xml:space="preserve"> SEQ Figure \* ARABIC </w:instrText>
      </w:r>
      <w:r w:rsidRPr="006058E5">
        <w:rPr>
          <w:b/>
          <w:i w:val="0"/>
          <w:sz w:val="20"/>
          <w:szCs w:val="20"/>
          <w:lang w:val="en-GB"/>
        </w:rPr>
        <w:fldChar w:fldCharType="separate"/>
      </w:r>
      <w:r w:rsidR="005747A4">
        <w:rPr>
          <w:b/>
          <w:i w:val="0"/>
          <w:noProof/>
          <w:sz w:val="20"/>
          <w:szCs w:val="20"/>
          <w:lang w:val="en-GB"/>
        </w:rPr>
        <w:t>3</w:t>
      </w:r>
      <w:r w:rsidRPr="006058E5">
        <w:rPr>
          <w:b/>
          <w:i w:val="0"/>
          <w:sz w:val="20"/>
          <w:szCs w:val="20"/>
          <w:lang w:val="en-GB"/>
        </w:rPr>
        <w:fldChar w:fldCharType="end"/>
      </w:r>
      <w:bookmarkEnd w:id="6"/>
      <w:r>
        <w:rPr>
          <w:b/>
          <w:i w:val="0"/>
          <w:sz w:val="20"/>
          <w:szCs w:val="20"/>
          <w:lang w:val="en-GB"/>
        </w:rPr>
        <w:t>.</w:t>
      </w:r>
      <w:r w:rsidRPr="006058E5">
        <w:rPr>
          <w:b/>
          <w:i w:val="0"/>
          <w:sz w:val="20"/>
          <w:szCs w:val="20"/>
          <w:lang w:val="en-GB"/>
        </w:rPr>
        <w:t xml:space="preserve"> Relative difference between chained and direct index as a function of the chain length.</w:t>
      </w:r>
    </w:p>
    <w:p w14:paraId="6F6492EF" w14:textId="77777777" w:rsidR="004876B2" w:rsidRPr="006058E5" w:rsidRDefault="004876B2" w:rsidP="004876B2">
      <w:pPr>
        <w:rPr>
          <w:sz w:val="20"/>
          <w:szCs w:val="20"/>
          <w:lang w:val="en-GB"/>
        </w:rPr>
      </w:pPr>
      <w:r w:rsidRPr="006144E6">
        <w:rPr>
          <w:noProof/>
          <w:lang w:val="is-IS" w:eastAsia="is-IS"/>
        </w:rPr>
        <w:drawing>
          <wp:inline distT="0" distB="0" distL="0" distR="0" wp14:anchorId="643E6C83" wp14:editId="49D5D8D9">
            <wp:extent cx="5652000" cy="2808000"/>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058E5">
        <w:rPr>
          <w:sz w:val="20"/>
          <w:szCs w:val="20"/>
          <w:lang w:val="en-GB"/>
        </w:rPr>
        <w:t xml:space="preserve">The three symbols denote three different chains, each starting at different moments in time: </w:t>
      </w:r>
      <w:proofErr w:type="gramStart"/>
      <w:r w:rsidRPr="006058E5">
        <w:rPr>
          <w:sz w:val="20"/>
          <w:szCs w:val="20"/>
          <w:lang w:val="en-GB"/>
        </w:rPr>
        <w:t>0</w:t>
      </w:r>
      <w:proofErr w:type="gramEnd"/>
      <w:r w:rsidRPr="006058E5">
        <w:rPr>
          <w:sz w:val="20"/>
          <w:szCs w:val="20"/>
          <w:lang w:val="en-GB"/>
        </w:rPr>
        <w:t xml:space="preserve"> (the blue diamonds), 12 (the red squares), and 16 (the green triangles) months.</w:t>
      </w:r>
    </w:p>
    <w:p w14:paraId="0065C527" w14:textId="77777777" w:rsidR="004876B2" w:rsidRDefault="006058E5" w:rsidP="004876B2">
      <w:pPr>
        <w:rPr>
          <w:szCs w:val="24"/>
          <w:lang w:val="en-GB"/>
        </w:rPr>
      </w:pPr>
      <w:r w:rsidRPr="006058E5">
        <w:rPr>
          <w:szCs w:val="24"/>
          <w:lang w:val="en-GB"/>
        </w:rPr>
        <w:fldChar w:fldCharType="begin"/>
      </w:r>
      <w:r w:rsidRPr="006058E5">
        <w:rPr>
          <w:szCs w:val="24"/>
          <w:lang w:val="en-GB"/>
        </w:rPr>
        <w:instrText xml:space="preserve"> REF _Ref8639808 \h  \* MERGEFORMAT </w:instrText>
      </w:r>
      <w:r w:rsidRPr="006058E5">
        <w:rPr>
          <w:szCs w:val="24"/>
          <w:lang w:val="en-GB"/>
        </w:rPr>
      </w:r>
      <w:r w:rsidRPr="006058E5">
        <w:rPr>
          <w:szCs w:val="24"/>
          <w:lang w:val="en-GB"/>
        </w:rPr>
        <w:fldChar w:fldCharType="separate"/>
      </w:r>
      <w:r w:rsidR="005747A4" w:rsidRPr="005747A4">
        <w:rPr>
          <w:szCs w:val="24"/>
          <w:lang w:val="en-GB"/>
        </w:rPr>
        <w:t xml:space="preserve">Figure </w:t>
      </w:r>
      <w:proofErr w:type="gramStart"/>
      <w:r w:rsidR="005747A4" w:rsidRPr="005747A4">
        <w:rPr>
          <w:szCs w:val="24"/>
          <w:lang w:val="en-GB"/>
        </w:rPr>
        <w:t>3</w:t>
      </w:r>
      <w:proofErr w:type="gramEnd"/>
      <w:r w:rsidRPr="006058E5">
        <w:rPr>
          <w:szCs w:val="24"/>
          <w:lang w:val="en-GB"/>
        </w:rPr>
        <w:fldChar w:fldCharType="end"/>
      </w:r>
      <w:r>
        <w:rPr>
          <w:szCs w:val="24"/>
          <w:lang w:val="en-GB"/>
        </w:rPr>
        <w:t xml:space="preserve"> </w:t>
      </w:r>
      <w:r w:rsidR="004876B2" w:rsidRPr="006144E6">
        <w:rPr>
          <w:szCs w:val="24"/>
          <w:lang w:val="en-GB"/>
        </w:rPr>
        <w:t>shows also that the drift may be of either sign, and the at least for few years, it does not grow with time.</w:t>
      </w:r>
    </w:p>
    <w:p w14:paraId="5B49130D" w14:textId="61C07B0F" w:rsidR="0046171D" w:rsidRDefault="00862E11" w:rsidP="00746F81">
      <w:pPr>
        <w:pStyle w:val="Heading3"/>
      </w:pPr>
      <w:bookmarkStart w:id="7" w:name="_Toc522106674"/>
      <w:r>
        <w:t>Assess</w:t>
      </w:r>
      <w:r w:rsidR="00746F81">
        <w:t>ment</w:t>
      </w:r>
      <w:r>
        <w:t xml:space="preserve"> of the chaining effect</w:t>
      </w:r>
    </w:p>
    <w:p w14:paraId="1D6CC82C" w14:textId="19B8C3E3" w:rsidR="00F01DCD" w:rsidRPr="0046171D" w:rsidRDefault="0046171D" w:rsidP="0046171D">
      <w:pPr>
        <w:rPr>
          <w:lang w:val="en-GB"/>
        </w:rPr>
      </w:pPr>
      <w:r w:rsidRPr="0046171D">
        <w:t>The conclusion of the analysis</w:t>
      </w:r>
      <w:r w:rsidR="00755C70">
        <w:t xml:space="preserve"> (Statistcs Iceland, 2018)</w:t>
      </w:r>
      <w:r w:rsidRPr="0046171D">
        <w:t xml:space="preserve"> is that the accumulated drift is small as it is only of the order of magnitude of the rounding errors for the (higher aggregates level) index, at least for short (months) and medium terms (several years). It can only be inferred that this behaviour is conserved for longer term, due to the structure of the drift as a sum of alternating sign terms of comparable sizes.</w:t>
      </w:r>
      <w:bookmarkEnd w:id="7"/>
    </w:p>
    <w:p w14:paraId="7147F7CE" w14:textId="77777777" w:rsidR="00755C70" w:rsidRDefault="00755C70" w:rsidP="0099678F">
      <w:pPr>
        <w:pStyle w:val="Heading1"/>
      </w:pPr>
      <w:r>
        <w:t>Conclusions and discussion</w:t>
      </w:r>
    </w:p>
    <w:p w14:paraId="70FA8009" w14:textId="553710BD" w:rsidR="008A44A9" w:rsidRDefault="008A44A9" w:rsidP="008A44A9">
      <w:r w:rsidRPr="008A44A9">
        <w:t xml:space="preserve">This paper summarizes </w:t>
      </w:r>
      <w:r w:rsidR="006327CF">
        <w:t>an</w:t>
      </w:r>
      <w:r w:rsidR="006327CF" w:rsidRPr="008A44A9">
        <w:t xml:space="preserve"> </w:t>
      </w:r>
      <w:r w:rsidRPr="008A44A9">
        <w:t xml:space="preserve">external (Zieschang, 2019) and </w:t>
      </w:r>
      <w:r w:rsidR="006327CF">
        <w:t>an</w:t>
      </w:r>
      <w:r w:rsidR="006327CF" w:rsidRPr="008A44A9">
        <w:t xml:space="preserve"> </w:t>
      </w:r>
      <w:r w:rsidRPr="008A44A9">
        <w:t>internal review(Statistcs Iceland, 2018) on the IWPI, done in 2018.</w:t>
      </w:r>
    </w:p>
    <w:p w14:paraId="550ED02E" w14:textId="77777777" w:rsidR="008A44A9" w:rsidRDefault="008A44A9" w:rsidP="008A44A9">
      <w:r w:rsidRPr="008A44A9">
        <w:t>The conclusions of these two papers are that the data used for calculating the index is of good quality and the method is standard for a price index.</w:t>
      </w:r>
    </w:p>
    <w:p w14:paraId="345558BE" w14:textId="77777777" w:rsidR="008A44A9" w:rsidRDefault="008A44A9" w:rsidP="008A44A9">
      <w:r w:rsidRPr="008A44A9">
        <w:t>There are two recommendations made by the reviewers to Statistics Iceland for improving the calculation of the wage price index:</w:t>
      </w:r>
    </w:p>
    <w:p w14:paraId="493A374E" w14:textId="77777777" w:rsidR="008A44A9" w:rsidRDefault="008A44A9" w:rsidP="00E652FE">
      <w:pPr>
        <w:pStyle w:val="ListParagraph"/>
        <w:numPr>
          <w:ilvl w:val="0"/>
          <w:numId w:val="9"/>
        </w:numPr>
      </w:pPr>
      <w:r w:rsidRPr="008A44A9">
        <w:t>A systematic sample refresh should be designed and applied to the ISWEL data in order to accommodate for dynamical changes</w:t>
      </w:r>
    </w:p>
    <w:p w14:paraId="596893B6" w14:textId="52332F0F" w:rsidR="008A44A9" w:rsidRDefault="006327CF" w:rsidP="00E652FE">
      <w:pPr>
        <w:pStyle w:val="ListParagraph"/>
        <w:numPr>
          <w:ilvl w:val="0"/>
          <w:numId w:val="9"/>
        </w:numPr>
      </w:pPr>
      <w:r>
        <w:lastRenderedPageBreak/>
        <w:t>Estimating the size and accumulation of</w:t>
      </w:r>
      <w:r w:rsidR="008A44A9" w:rsidRPr="008A44A9">
        <w:t xml:space="preserve"> effects due to education and length of service</w:t>
      </w:r>
      <w:r>
        <w:t xml:space="preserve"> in the dataset. This analysis is in the final stages</w:t>
      </w:r>
      <w:r w:rsidR="004567C9">
        <w:t xml:space="preserve"> and will be published soon in working paper by Statistics Iceland</w:t>
      </w:r>
      <w:r>
        <w:t>.</w:t>
      </w:r>
    </w:p>
    <w:p w14:paraId="1BF787EF" w14:textId="77777777" w:rsidR="000A6C20" w:rsidRDefault="000A6C20">
      <w:pPr>
        <w:spacing w:before="0" w:after="160" w:line="259" w:lineRule="auto"/>
        <w:jc w:val="left"/>
        <w:rPr>
          <w:rFonts w:eastAsiaTheme="majorEastAsia" w:cstheme="majorBidi"/>
          <w:b/>
          <w:szCs w:val="32"/>
          <w:lang w:val="en-GB"/>
        </w:rPr>
      </w:pPr>
      <w:r>
        <w:rPr>
          <w:lang w:val="en-GB"/>
        </w:rPr>
        <w:br w:type="page"/>
      </w:r>
    </w:p>
    <w:p w14:paraId="02269500" w14:textId="77777777" w:rsidR="006B1F86" w:rsidRPr="006144E6" w:rsidRDefault="006B1F86" w:rsidP="0099678F">
      <w:pPr>
        <w:pStyle w:val="Heading1"/>
      </w:pPr>
      <w:r w:rsidRPr="006144E6">
        <w:lastRenderedPageBreak/>
        <w:t>References</w:t>
      </w:r>
    </w:p>
    <w:p w14:paraId="1D2EC4D1" w14:textId="77777777" w:rsidR="006557EF" w:rsidRPr="005747A4" w:rsidRDefault="006557EF" w:rsidP="005747A4">
      <w:pPr>
        <w:pStyle w:val="NoSpacing"/>
      </w:pPr>
      <w:r w:rsidRPr="005747A4">
        <w:t>Balk, B. M. (2008). Price and quantity index numbers, models for measuring aggregate change and difference. 1st edition. Cambridge University Press.</w:t>
      </w:r>
      <w:r w:rsidRPr="005747A4">
        <w:br/>
      </w:r>
    </w:p>
    <w:p w14:paraId="26415907" w14:textId="77777777" w:rsidR="006557EF" w:rsidRPr="005747A4" w:rsidRDefault="006557EF" w:rsidP="005747A4">
      <w:pPr>
        <w:pStyle w:val="NoSpacing"/>
      </w:pPr>
      <w:r w:rsidRPr="005747A4">
        <w:t>Hagstofa Íslands (2009a). ÍSTARF95 (Based on ISCO-88). Reykjavík: The author.</w:t>
      </w:r>
    </w:p>
    <w:p w14:paraId="34011685" w14:textId="77777777" w:rsidR="005747A4" w:rsidRPr="006144E6" w:rsidRDefault="005747A4" w:rsidP="005747A4">
      <w:pPr>
        <w:pStyle w:val="NoSpacing"/>
        <w:rPr>
          <w:lang w:val="en-GB"/>
        </w:rPr>
      </w:pPr>
    </w:p>
    <w:p w14:paraId="28C9AFE7" w14:textId="77777777" w:rsidR="006557EF" w:rsidRDefault="006557EF" w:rsidP="005747A4">
      <w:pPr>
        <w:pStyle w:val="NoSpacing"/>
        <w:rPr>
          <w:lang w:val="en-GB"/>
        </w:rPr>
      </w:pPr>
      <w:proofErr w:type="spellStart"/>
      <w:r w:rsidRPr="006144E6">
        <w:rPr>
          <w:lang w:val="en-GB"/>
        </w:rPr>
        <w:t>Hagstofa</w:t>
      </w:r>
      <w:proofErr w:type="spellEnd"/>
      <w:r w:rsidRPr="006144E6">
        <w:rPr>
          <w:lang w:val="en-GB"/>
        </w:rPr>
        <w:t xml:space="preserve"> </w:t>
      </w:r>
      <w:proofErr w:type="spellStart"/>
      <w:r w:rsidRPr="006144E6">
        <w:rPr>
          <w:lang w:val="en-GB"/>
        </w:rPr>
        <w:t>Íslands</w:t>
      </w:r>
      <w:proofErr w:type="spellEnd"/>
      <w:r w:rsidRPr="006144E6">
        <w:rPr>
          <w:lang w:val="en-GB"/>
        </w:rPr>
        <w:t xml:space="preserve"> (2009b). </w:t>
      </w:r>
      <w:r w:rsidRPr="006144E6">
        <w:rPr>
          <w:i/>
          <w:lang w:val="en-GB"/>
        </w:rPr>
        <w:t>ÍSAT2008</w:t>
      </w:r>
      <w:r w:rsidRPr="006144E6">
        <w:rPr>
          <w:lang w:val="en-GB"/>
        </w:rPr>
        <w:t xml:space="preserve"> (Based on NAC rev. 2). Reykjavík: The author.</w:t>
      </w:r>
    </w:p>
    <w:p w14:paraId="5C6E049D" w14:textId="77777777" w:rsidR="005747A4" w:rsidRPr="006144E6" w:rsidRDefault="005747A4" w:rsidP="005747A4">
      <w:pPr>
        <w:pStyle w:val="NoSpacing"/>
        <w:rPr>
          <w:rStyle w:val="reference-text"/>
          <w:szCs w:val="24"/>
          <w:lang w:val="en-GB"/>
        </w:rPr>
      </w:pPr>
    </w:p>
    <w:p w14:paraId="03B3D0C2" w14:textId="77777777" w:rsidR="006557EF" w:rsidRPr="006144E6" w:rsidRDefault="006557EF" w:rsidP="005747A4">
      <w:pPr>
        <w:pStyle w:val="NoSpacing"/>
        <w:rPr>
          <w:rStyle w:val="Hyperlink"/>
          <w:szCs w:val="24"/>
          <w:lang w:val="en-GB"/>
        </w:rPr>
      </w:pPr>
      <w:r w:rsidRPr="006144E6">
        <w:rPr>
          <w:lang w:val="en-GB"/>
        </w:rPr>
        <w:t xml:space="preserve">ILO, IMF, OECD, Eurostat, United Nations, and World Bank (2004). </w:t>
      </w:r>
      <w:r w:rsidRPr="006144E6">
        <w:rPr>
          <w:i/>
          <w:lang w:val="en-GB"/>
        </w:rPr>
        <w:t>Consumer price index manual: Theory and practice</w:t>
      </w:r>
      <w:r w:rsidRPr="006144E6">
        <w:rPr>
          <w:lang w:val="en-GB"/>
        </w:rPr>
        <w:t xml:space="preserve">, ILO Publications, Geneva. Retrieved 23.07.2018 from </w:t>
      </w:r>
      <w:hyperlink r:id="rId11" w:history="1">
        <w:r w:rsidRPr="006144E6">
          <w:rPr>
            <w:rStyle w:val="Hyperlink"/>
            <w:szCs w:val="24"/>
            <w:lang w:val="en-GB"/>
          </w:rPr>
          <w:t>http://gauss.stat.su.se/master/es/CPIM-TP.pdf</w:t>
        </w:r>
      </w:hyperlink>
    </w:p>
    <w:p w14:paraId="245C4E29" w14:textId="77777777" w:rsidR="005747A4" w:rsidRDefault="005747A4" w:rsidP="005747A4">
      <w:pPr>
        <w:pStyle w:val="NoSpacing"/>
        <w:rPr>
          <w:lang w:val="en-GB"/>
        </w:rPr>
      </w:pPr>
    </w:p>
    <w:p w14:paraId="042F50C4" w14:textId="77777777" w:rsidR="006557EF" w:rsidRDefault="007F1ADF" w:rsidP="005747A4">
      <w:pPr>
        <w:pStyle w:val="NoSpacing"/>
        <w:rPr>
          <w:rStyle w:val="Hyperlink"/>
          <w:szCs w:val="24"/>
          <w:lang w:val="en-GB"/>
        </w:rPr>
      </w:pPr>
      <w:r>
        <w:rPr>
          <w:lang w:val="en-GB"/>
        </w:rPr>
        <w:t xml:space="preserve">Statistics Iceland (no </w:t>
      </w:r>
      <w:r w:rsidR="006557EF" w:rsidRPr="006144E6">
        <w:rPr>
          <w:lang w:val="en-GB"/>
        </w:rPr>
        <w:t>d</w:t>
      </w:r>
      <w:r>
        <w:rPr>
          <w:lang w:val="en-GB"/>
        </w:rPr>
        <w:t>ate</w:t>
      </w:r>
      <w:r w:rsidR="006557EF" w:rsidRPr="006144E6">
        <w:rPr>
          <w:lang w:val="en-GB"/>
        </w:rPr>
        <w:t xml:space="preserve">). </w:t>
      </w:r>
      <w:r w:rsidR="006557EF" w:rsidRPr="006144E6">
        <w:rPr>
          <w:i/>
          <w:lang w:val="en-GB"/>
        </w:rPr>
        <w:t>The Act on the Wage Index No 89/1989</w:t>
      </w:r>
      <w:r w:rsidR="006557EF" w:rsidRPr="006144E6">
        <w:rPr>
          <w:lang w:val="en-GB"/>
        </w:rPr>
        <w:t xml:space="preserve">. </w:t>
      </w:r>
      <w:hyperlink r:id="rId12" w:history="1">
        <w:r w:rsidR="006557EF" w:rsidRPr="006144E6">
          <w:rPr>
            <w:rStyle w:val="Hyperlink"/>
            <w:szCs w:val="24"/>
            <w:lang w:val="en-GB"/>
          </w:rPr>
          <w:t>https://statice.is/about-statistics-iceland/laws-and-regulations/act-on-the-wage-index/</w:t>
        </w:r>
      </w:hyperlink>
      <w:r w:rsidR="006557EF" w:rsidRPr="006144E6">
        <w:rPr>
          <w:lang w:val="en-GB"/>
        </w:rPr>
        <w:t xml:space="preserve">. Translated from Icelandic: </w:t>
      </w:r>
      <w:hyperlink r:id="rId13" w:history="1">
        <w:r w:rsidR="006557EF" w:rsidRPr="006144E6">
          <w:rPr>
            <w:rStyle w:val="Hyperlink"/>
            <w:szCs w:val="24"/>
            <w:lang w:val="en-GB"/>
          </w:rPr>
          <w:t>https://www.althingi.is/lagas/nuna/1989089.html</w:t>
        </w:r>
      </w:hyperlink>
    </w:p>
    <w:p w14:paraId="263A28D3" w14:textId="77777777" w:rsidR="005747A4" w:rsidRPr="006144E6" w:rsidRDefault="005747A4" w:rsidP="005747A4">
      <w:pPr>
        <w:pStyle w:val="NoSpacing"/>
        <w:rPr>
          <w:rStyle w:val="Hyperlink"/>
          <w:szCs w:val="24"/>
          <w:lang w:val="en-GB"/>
        </w:rPr>
      </w:pPr>
    </w:p>
    <w:p w14:paraId="203CF448" w14:textId="77777777" w:rsidR="005747A4" w:rsidRPr="005747A4" w:rsidRDefault="003B296C" w:rsidP="005747A4">
      <w:pPr>
        <w:pStyle w:val="NoSpacing"/>
        <w:rPr>
          <w:rFonts w:cs="Arial"/>
          <w:szCs w:val="24"/>
          <w:lang w:val="en-GB"/>
        </w:rPr>
      </w:pPr>
      <w:r w:rsidRPr="005747A4">
        <w:rPr>
          <w:rFonts w:cs="Arial"/>
          <w:szCs w:val="24"/>
          <w:lang w:val="en-GB"/>
        </w:rPr>
        <w:t xml:space="preserve">Statistics Iceland (2018). Methodology of the Icelandic Wage Index. Statistics Iceland, Reykjavík. Retrieved 09.05.2019 from </w:t>
      </w:r>
      <w:hyperlink r:id="rId14" w:history="1">
        <w:r w:rsidRPr="005747A4">
          <w:rPr>
            <w:rStyle w:val="Hyperlink"/>
            <w:rFonts w:cs="Arial"/>
            <w:szCs w:val="24"/>
            <w:lang w:val="en-GB"/>
          </w:rPr>
          <w:t>http://hagstofan.s3.amazonaws.com/media/public/2018/e2c06929-b8a3-4866-8086-8f6291f943d9_SG5weZE.pdf</w:t>
        </w:r>
      </w:hyperlink>
    </w:p>
    <w:p w14:paraId="56039D02" w14:textId="77777777" w:rsidR="005747A4" w:rsidRPr="005747A4" w:rsidRDefault="005747A4" w:rsidP="005747A4">
      <w:pPr>
        <w:pStyle w:val="NoSpacing"/>
        <w:rPr>
          <w:rFonts w:cs="Arial"/>
          <w:szCs w:val="24"/>
          <w:lang w:val="en-GB"/>
        </w:rPr>
      </w:pPr>
    </w:p>
    <w:p w14:paraId="63AB466B" w14:textId="77777777" w:rsidR="006557EF" w:rsidRPr="005747A4" w:rsidRDefault="000A6C20" w:rsidP="005747A4">
      <w:pPr>
        <w:pStyle w:val="NoSpacing"/>
        <w:rPr>
          <w:rFonts w:cs="Arial"/>
          <w:szCs w:val="24"/>
          <w:lang w:val="en-GB"/>
        </w:rPr>
      </w:pPr>
      <w:r>
        <w:rPr>
          <w:rFonts w:cs="Arial"/>
          <w:szCs w:val="24"/>
          <w:lang w:val="en-GB"/>
        </w:rPr>
        <w:t>Z</w:t>
      </w:r>
      <w:r w:rsidR="006557EF" w:rsidRPr="005747A4">
        <w:rPr>
          <w:rFonts w:cs="Arial"/>
          <w:szCs w:val="24"/>
          <w:lang w:val="en-GB"/>
        </w:rPr>
        <w:t>i</w:t>
      </w:r>
      <w:r>
        <w:rPr>
          <w:rFonts w:cs="Arial"/>
          <w:szCs w:val="24"/>
          <w:lang w:val="en-GB"/>
        </w:rPr>
        <w:t>e</w:t>
      </w:r>
      <w:r w:rsidR="006557EF" w:rsidRPr="005747A4">
        <w:rPr>
          <w:rFonts w:cs="Arial"/>
          <w:szCs w:val="24"/>
          <w:lang w:val="en-GB"/>
        </w:rPr>
        <w:t xml:space="preserve">schang, K. (2019). Review of the Icelandic Wage Price Index. In </w:t>
      </w:r>
      <w:proofErr w:type="spellStart"/>
      <w:r w:rsidR="006557EF" w:rsidRPr="005747A4">
        <w:rPr>
          <w:rFonts w:cs="Arial"/>
          <w:i/>
          <w:szCs w:val="24"/>
          <w:lang w:val="en-GB"/>
        </w:rPr>
        <w:t>Launatölfræði</w:t>
      </w:r>
      <w:proofErr w:type="spellEnd"/>
      <w:r w:rsidR="006557EF" w:rsidRPr="005747A4">
        <w:rPr>
          <w:rFonts w:cs="Arial"/>
          <w:i/>
          <w:szCs w:val="24"/>
          <w:lang w:val="en-GB"/>
        </w:rPr>
        <w:t xml:space="preserve"> á </w:t>
      </w:r>
      <w:proofErr w:type="spellStart"/>
      <w:r w:rsidR="006557EF" w:rsidRPr="005747A4">
        <w:rPr>
          <w:rFonts w:cs="Arial"/>
          <w:i/>
          <w:szCs w:val="24"/>
          <w:lang w:val="en-GB"/>
        </w:rPr>
        <w:t>Íslandi</w:t>
      </w:r>
      <w:proofErr w:type="spellEnd"/>
      <w:r w:rsidR="003B296C" w:rsidRPr="005747A4">
        <w:rPr>
          <w:rFonts w:cs="Arial"/>
          <w:i/>
          <w:szCs w:val="24"/>
          <w:lang w:val="en-GB"/>
        </w:rPr>
        <w:t xml:space="preserve">. </w:t>
      </w:r>
      <w:r w:rsidR="003B296C" w:rsidRPr="005747A4">
        <w:rPr>
          <w:rFonts w:cs="Arial"/>
          <w:szCs w:val="24"/>
          <w:lang w:val="en-GB"/>
        </w:rPr>
        <w:t xml:space="preserve">Retrieved 09.05.2018 from </w:t>
      </w:r>
      <w:hyperlink r:id="rId15" w:history="1">
        <w:r w:rsidR="003B296C" w:rsidRPr="005747A4">
          <w:rPr>
            <w:rStyle w:val="Hyperlink"/>
            <w:rFonts w:cs="Arial"/>
            <w:szCs w:val="24"/>
            <w:lang w:val="en-GB"/>
          </w:rPr>
          <w:t>https://www.stjornarradid.is/lisalib/getfile.aspx?itemid=40395405-2616-11e9-942f-005056bc4d74</w:t>
        </w:r>
      </w:hyperlink>
    </w:p>
    <w:p w14:paraId="3CB957E7" w14:textId="77777777" w:rsidR="006B1F86" w:rsidRPr="006144E6" w:rsidRDefault="006B1F86" w:rsidP="00DB4182">
      <w:pPr>
        <w:spacing w:before="240"/>
        <w:rPr>
          <w:rFonts w:cs="Arial"/>
          <w:sz w:val="20"/>
          <w:szCs w:val="20"/>
          <w:lang w:val="en-GB"/>
        </w:rPr>
      </w:pPr>
    </w:p>
    <w:sectPr w:rsidR="006B1F86" w:rsidRPr="006144E6"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B6BD" w14:textId="77777777" w:rsidR="004876B2" w:rsidRDefault="004876B2" w:rsidP="00E82B25">
      <w:pPr>
        <w:spacing w:line="240" w:lineRule="auto"/>
      </w:pPr>
      <w:r>
        <w:separator/>
      </w:r>
    </w:p>
  </w:endnote>
  <w:endnote w:type="continuationSeparator" w:id="0">
    <w:p w14:paraId="4B3767C0" w14:textId="77777777" w:rsidR="004876B2" w:rsidRDefault="004876B2"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cs="Arial"/>
        <w:szCs w:val="24"/>
      </w:rPr>
    </w:sdtEndPr>
    <w:sdtContent>
      <w:p w14:paraId="045BCB2C" w14:textId="76824A83" w:rsidR="004876B2" w:rsidRPr="009378F5" w:rsidRDefault="004876B2" w:rsidP="0035694D">
        <w:pPr>
          <w:pStyle w:val="Footer"/>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394CE2">
          <w:rPr>
            <w:rFonts w:cs="Arial"/>
            <w:noProof/>
            <w:szCs w:val="24"/>
          </w:rPr>
          <w:t>4</w:t>
        </w:r>
        <w:r w:rsidRPr="009378F5">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E4A70" w14:textId="77777777" w:rsidR="004876B2" w:rsidRDefault="004876B2" w:rsidP="00E82B25">
      <w:pPr>
        <w:spacing w:line="240" w:lineRule="auto"/>
      </w:pPr>
      <w:r>
        <w:separator/>
      </w:r>
    </w:p>
  </w:footnote>
  <w:footnote w:type="continuationSeparator" w:id="0">
    <w:p w14:paraId="5930E190" w14:textId="77777777" w:rsidR="004876B2" w:rsidRDefault="004876B2" w:rsidP="00E82B25">
      <w:pPr>
        <w:spacing w:line="240" w:lineRule="auto"/>
      </w:pPr>
      <w:r>
        <w:continuationSeparator/>
      </w:r>
    </w:p>
  </w:footnote>
  <w:footnote w:id="1">
    <w:p w14:paraId="6057A0E7" w14:textId="77777777" w:rsidR="00AF06A3" w:rsidRPr="004876B2" w:rsidRDefault="00AF06A3" w:rsidP="00AF06A3">
      <w:pPr>
        <w:pStyle w:val="FootnoteText"/>
      </w:pPr>
      <w:r w:rsidRPr="004876B2">
        <w:rPr>
          <w:rStyle w:val="FootnoteReference"/>
        </w:rPr>
        <w:footnoteRef/>
      </w:r>
      <w:r w:rsidRPr="004876B2">
        <w:t xml:space="preserve"> A four digit number according to the Ístarf95 occupation classifications of Statistics Iceland (based on ISCO-88). In addition there is a 5</w:t>
      </w:r>
      <w:r w:rsidRPr="004876B2">
        <w:rPr>
          <w:vertAlign w:val="superscript"/>
        </w:rPr>
        <w:t>th</w:t>
      </w:r>
      <w:r w:rsidRPr="004876B2">
        <w:t xml:space="preserve"> digit in the occupational code to distinguish status of the employee, i.e. general workers, foreman and craft worker. </w:t>
      </w:r>
    </w:p>
  </w:footnote>
  <w:footnote w:id="2">
    <w:p w14:paraId="1CC49B5B" w14:textId="77777777" w:rsidR="00AF06A3" w:rsidRPr="0010326A" w:rsidRDefault="00AF06A3" w:rsidP="00AF06A3">
      <w:pPr>
        <w:pStyle w:val="FootnoteText"/>
      </w:pPr>
      <w:r w:rsidRPr="004876B2">
        <w:rPr>
          <w:rStyle w:val="FootnoteReference"/>
        </w:rPr>
        <w:footnoteRef/>
      </w:r>
      <w:r w:rsidRPr="004876B2">
        <w:t xml:space="preserve"> </w:t>
      </w:r>
      <w:r w:rsidRPr="004876B2">
        <w:t xml:space="preserve">A </w:t>
      </w:r>
      <w:r w:rsidRPr="004876B2">
        <w:t>five digit number according to on Ísat2008 economic activity classification of Statistics Iceland (based on NACE2008 rev.2.).</w:t>
      </w:r>
      <w:r>
        <w:t xml:space="preserve"> </w:t>
      </w:r>
    </w:p>
  </w:footnote>
  <w:footnote w:id="3">
    <w:p w14:paraId="3D88B8F1" w14:textId="77777777" w:rsidR="006557EF" w:rsidRPr="006557EF" w:rsidRDefault="006557EF">
      <w:pPr>
        <w:pStyle w:val="FootnoteText"/>
        <w:rPr>
          <w:lang w:val="is-IS"/>
        </w:rPr>
      </w:pPr>
      <w:r>
        <w:rPr>
          <w:rStyle w:val="FootnoteReference"/>
        </w:rPr>
        <w:footnoteRef/>
      </w:r>
      <w:hyperlink r:id="rId1" w:history="1">
        <w:r>
          <w:rPr>
            <w:rStyle w:val="Hyperlink"/>
          </w:rPr>
          <w:t>https://www.statice.is/statistics/society/wages-and-income/</w:t>
        </w:r>
      </w:hyperlink>
    </w:p>
  </w:footnote>
  <w:footnote w:id="4">
    <w:p w14:paraId="412BC8F2" w14:textId="77777777" w:rsidR="00235340" w:rsidRPr="004876B2" w:rsidRDefault="00235340" w:rsidP="00235340">
      <w:pPr>
        <w:pStyle w:val="FootnoteText"/>
      </w:pPr>
      <w:r w:rsidRPr="004876B2">
        <w:rPr>
          <w:rStyle w:val="FootnoteReference"/>
        </w:rPr>
        <w:footnoteRef/>
      </w:r>
      <w:r w:rsidRPr="004876B2">
        <w:t xml:space="preserve"> </w:t>
      </w:r>
      <w:r w:rsidRPr="004876B2">
        <w:t>https://statice.is/statistics/society/wages-and-income/wage-index/</w:t>
      </w:r>
    </w:p>
  </w:footnote>
  <w:footnote w:id="5">
    <w:p w14:paraId="47C8CC1F" w14:textId="77777777" w:rsidR="006F0336" w:rsidRPr="004876B2" w:rsidRDefault="006F0336" w:rsidP="006F0336">
      <w:pPr>
        <w:pStyle w:val="FootnoteText"/>
      </w:pPr>
      <w:r w:rsidRPr="004876B2">
        <w:rPr>
          <w:rStyle w:val="FootnoteReference"/>
        </w:rPr>
        <w:footnoteRef/>
      </w:r>
      <w:r w:rsidRPr="004876B2">
        <w:t xml:space="preserve"> </w:t>
      </w:r>
      <w:r w:rsidRPr="004876B2">
        <w:rPr>
          <w:rFonts w:cs="Times New Roman"/>
        </w:rPr>
        <w:t xml:space="preserve">An </w:t>
      </w:r>
      <w:r w:rsidRPr="004876B2">
        <w:rPr>
          <w:rFonts w:cs="Times New Roman"/>
        </w:rPr>
        <w:t>expenditure weight for any sub-aggregate is the ratio between the value of the sub-aggregate and the value of the aggregate at the next higher level. The value is defined as the product between price and quantity, i.e. hourly wages and number of employee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2302" w14:textId="77777777" w:rsidR="004876B2" w:rsidRDefault="00394CE2">
    <w:pPr>
      <w:pStyle w:val="Header"/>
    </w:pPr>
    <w:r>
      <w:rPr>
        <w:noProof/>
        <w:lang w:eastAsia="pl-PL"/>
      </w:rPr>
      <w:pict w14:anchorId="7DA9B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51EB" w14:textId="77777777" w:rsidR="004876B2" w:rsidRPr="000B0921" w:rsidRDefault="004876B2" w:rsidP="000B0921">
    <w:pPr>
      <w:pStyle w:val="Header"/>
      <w:tabs>
        <w:tab w:val="clear" w:pos="4536"/>
        <w:tab w:val="clear" w:pos="9072"/>
        <w:tab w:val="left" w:pos="3344"/>
      </w:tabs>
    </w:pPr>
    <w:r>
      <w:rPr>
        <w:noProof/>
        <w:lang w:val="is-IS" w:eastAsia="is-IS"/>
      </w:rPr>
      <w:drawing>
        <wp:inline distT="0" distB="0" distL="0" distR="0" wp14:anchorId="726B7270" wp14:editId="1F121811">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D4C5" w14:textId="77777777" w:rsidR="004876B2" w:rsidRDefault="00394CE2">
    <w:pPr>
      <w:pStyle w:val="Header"/>
    </w:pPr>
    <w:r>
      <w:rPr>
        <w:noProof/>
        <w:lang w:eastAsia="pl-PL"/>
      </w:rPr>
      <w:pict w14:anchorId="14321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432"/>
    <w:multiLevelType w:val="hybridMultilevel"/>
    <w:tmpl w:val="521A04D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9981F0F"/>
    <w:multiLevelType w:val="hybridMultilevel"/>
    <w:tmpl w:val="60E47C2A"/>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2" w15:restartNumberingAfterBreak="0">
    <w:nsid w:val="1CFC1E99"/>
    <w:multiLevelType w:val="hybridMultilevel"/>
    <w:tmpl w:val="7C2AFAE4"/>
    <w:lvl w:ilvl="0" w:tplc="77BE2A4E">
      <w:start w:val="1"/>
      <w:numFmt w:val="decimal"/>
      <w:lvlText w:val="%1."/>
      <w:lvlJc w:val="left"/>
      <w:pPr>
        <w:ind w:left="717"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32C5136"/>
    <w:multiLevelType w:val="hybridMultilevel"/>
    <w:tmpl w:val="BA303488"/>
    <w:lvl w:ilvl="0" w:tplc="64CC7A90">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C682D46"/>
    <w:multiLevelType w:val="hybridMultilevel"/>
    <w:tmpl w:val="479C97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AED37C0"/>
    <w:multiLevelType w:val="multilevel"/>
    <w:tmpl w:val="12800682"/>
    <w:lvl w:ilvl="0">
      <w:start w:val="1"/>
      <w:numFmt w:val="decimal"/>
      <w:lvlText w:val="%1."/>
      <w:lvlJc w:val="left"/>
      <w:pPr>
        <w:ind w:left="360" w:hanging="360"/>
      </w:pPr>
      <w:rPr>
        <w:rFonts w:ascii="Arial" w:hAnsi="Arial" w:hint="default"/>
        <w:b w:val="0"/>
        <w:i/>
        <w:sz w:val="24"/>
        <w14:numSpacing w14:val="proportional"/>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54B5626"/>
    <w:multiLevelType w:val="multilevel"/>
    <w:tmpl w:val="8CB0E3F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164E46"/>
    <w:multiLevelType w:val="multilevel"/>
    <w:tmpl w:val="C930C2F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ascii="Arial" w:hAnsi="Arial"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0E70D7"/>
    <w:multiLevelType w:val="hybridMultilevel"/>
    <w:tmpl w:val="13B6769E"/>
    <w:lvl w:ilvl="0" w:tplc="F042C82E">
      <w:start w:val="1"/>
      <w:numFmt w:val="decimal"/>
      <w:lvlText w:val="%1.1."/>
      <w:lvlJc w:val="left"/>
      <w:pPr>
        <w:ind w:left="0" w:firstLine="0"/>
      </w:pPr>
      <w:rPr>
        <w:rFonts w:ascii="Calibri Light" w:hAnsi="Calibri Light" w:hint="default"/>
        <w:b w:val="0"/>
        <w:i/>
        <w:sz w:val="24"/>
        <w14:numSpacing w14:val="proportional"/>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2"/>
  </w:num>
  <w:num w:numId="6">
    <w:abstractNumId w:val="4"/>
  </w:num>
  <w:num w:numId="7">
    <w:abstractNumId w:val="6"/>
  </w:num>
  <w:num w:numId="8">
    <w:abstractNumId w:val="6"/>
    <w:lvlOverride w:ilvl="0">
      <w:startOverride w:val="1"/>
    </w:lvlOverride>
  </w:num>
  <w:num w:numId="9">
    <w:abstractNumId w:val="0"/>
  </w:num>
  <w:num w:numId="10">
    <w:abstractNumId w:val="2"/>
  </w:num>
  <w:num w:numId="11">
    <w:abstractNumId w:val="2"/>
  </w:num>
  <w:num w:numId="12">
    <w:abstractNumId w:val="8"/>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0A8B"/>
    <w:rsid w:val="00047C24"/>
    <w:rsid w:val="00070925"/>
    <w:rsid w:val="0007704A"/>
    <w:rsid w:val="00090401"/>
    <w:rsid w:val="000930A7"/>
    <w:rsid w:val="000957CC"/>
    <w:rsid w:val="000A6C20"/>
    <w:rsid w:val="000B0921"/>
    <w:rsid w:val="000C61FC"/>
    <w:rsid w:val="000C6472"/>
    <w:rsid w:val="000D705A"/>
    <w:rsid w:val="000F337F"/>
    <w:rsid w:val="0011262B"/>
    <w:rsid w:val="00114E8D"/>
    <w:rsid w:val="00133E07"/>
    <w:rsid w:val="00142A8D"/>
    <w:rsid w:val="00147A34"/>
    <w:rsid w:val="00156AB3"/>
    <w:rsid w:val="00157DAD"/>
    <w:rsid w:val="00160406"/>
    <w:rsid w:val="0016743D"/>
    <w:rsid w:val="00182357"/>
    <w:rsid w:val="001B29BE"/>
    <w:rsid w:val="001D1A3A"/>
    <w:rsid w:val="001D4E31"/>
    <w:rsid w:val="001E43DC"/>
    <w:rsid w:val="001F0FA6"/>
    <w:rsid w:val="00221F17"/>
    <w:rsid w:val="00225FAC"/>
    <w:rsid w:val="00234927"/>
    <w:rsid w:val="00235340"/>
    <w:rsid w:val="0023623C"/>
    <w:rsid w:val="002400D3"/>
    <w:rsid w:val="00242620"/>
    <w:rsid w:val="0025113E"/>
    <w:rsid w:val="0028150C"/>
    <w:rsid w:val="00282B53"/>
    <w:rsid w:val="00284717"/>
    <w:rsid w:val="00292B50"/>
    <w:rsid w:val="00293580"/>
    <w:rsid w:val="002A57E3"/>
    <w:rsid w:val="002B6D33"/>
    <w:rsid w:val="002D3714"/>
    <w:rsid w:val="002D3826"/>
    <w:rsid w:val="0030586C"/>
    <w:rsid w:val="00306EA0"/>
    <w:rsid w:val="00313AD7"/>
    <w:rsid w:val="00335E1D"/>
    <w:rsid w:val="00336E21"/>
    <w:rsid w:val="0035694D"/>
    <w:rsid w:val="00362815"/>
    <w:rsid w:val="00384DF9"/>
    <w:rsid w:val="00394CE2"/>
    <w:rsid w:val="003A1D16"/>
    <w:rsid w:val="003B296C"/>
    <w:rsid w:val="003D0235"/>
    <w:rsid w:val="004150F5"/>
    <w:rsid w:val="00447512"/>
    <w:rsid w:val="004567C9"/>
    <w:rsid w:val="0046171D"/>
    <w:rsid w:val="004740F1"/>
    <w:rsid w:val="004876B2"/>
    <w:rsid w:val="00493026"/>
    <w:rsid w:val="004A12A7"/>
    <w:rsid w:val="004A1A99"/>
    <w:rsid w:val="004B39C1"/>
    <w:rsid w:val="004B615B"/>
    <w:rsid w:val="004B6729"/>
    <w:rsid w:val="004C5048"/>
    <w:rsid w:val="004F04B4"/>
    <w:rsid w:val="005215E8"/>
    <w:rsid w:val="00525E22"/>
    <w:rsid w:val="00530FD6"/>
    <w:rsid w:val="00563BD8"/>
    <w:rsid w:val="005747A4"/>
    <w:rsid w:val="005812C5"/>
    <w:rsid w:val="00592DFE"/>
    <w:rsid w:val="00596408"/>
    <w:rsid w:val="005A123D"/>
    <w:rsid w:val="005A1F57"/>
    <w:rsid w:val="005B6971"/>
    <w:rsid w:val="005F59B5"/>
    <w:rsid w:val="006052BF"/>
    <w:rsid w:val="006058E5"/>
    <w:rsid w:val="00605C75"/>
    <w:rsid w:val="006144E6"/>
    <w:rsid w:val="006327CF"/>
    <w:rsid w:val="00653D6C"/>
    <w:rsid w:val="006557EF"/>
    <w:rsid w:val="00667788"/>
    <w:rsid w:val="0068746F"/>
    <w:rsid w:val="0069009D"/>
    <w:rsid w:val="00697934"/>
    <w:rsid w:val="006B1F86"/>
    <w:rsid w:val="006B5A4A"/>
    <w:rsid w:val="006C5879"/>
    <w:rsid w:val="006F0336"/>
    <w:rsid w:val="0073562E"/>
    <w:rsid w:val="00741621"/>
    <w:rsid w:val="00746F81"/>
    <w:rsid w:val="00755C70"/>
    <w:rsid w:val="007730C4"/>
    <w:rsid w:val="00776C97"/>
    <w:rsid w:val="00785182"/>
    <w:rsid w:val="00796098"/>
    <w:rsid w:val="007B0D73"/>
    <w:rsid w:val="007B2114"/>
    <w:rsid w:val="007C0E37"/>
    <w:rsid w:val="007E6D8C"/>
    <w:rsid w:val="007F1ADF"/>
    <w:rsid w:val="008231F9"/>
    <w:rsid w:val="0082373C"/>
    <w:rsid w:val="0084478C"/>
    <w:rsid w:val="00845BF9"/>
    <w:rsid w:val="00847C76"/>
    <w:rsid w:val="00862E11"/>
    <w:rsid w:val="00867B2C"/>
    <w:rsid w:val="00873330"/>
    <w:rsid w:val="00883326"/>
    <w:rsid w:val="00893016"/>
    <w:rsid w:val="008A44A9"/>
    <w:rsid w:val="008A71D2"/>
    <w:rsid w:val="008B0935"/>
    <w:rsid w:val="008C42AD"/>
    <w:rsid w:val="008C4F9D"/>
    <w:rsid w:val="008D0682"/>
    <w:rsid w:val="008D56E1"/>
    <w:rsid w:val="008D6094"/>
    <w:rsid w:val="008F32CA"/>
    <w:rsid w:val="00902A7F"/>
    <w:rsid w:val="0093037C"/>
    <w:rsid w:val="0093682F"/>
    <w:rsid w:val="009378F5"/>
    <w:rsid w:val="00973B8D"/>
    <w:rsid w:val="0099678F"/>
    <w:rsid w:val="009A0247"/>
    <w:rsid w:val="009A4E5F"/>
    <w:rsid w:val="009B0C0A"/>
    <w:rsid w:val="00A23816"/>
    <w:rsid w:val="00A454B6"/>
    <w:rsid w:val="00A531F2"/>
    <w:rsid w:val="00A53B3B"/>
    <w:rsid w:val="00A6013E"/>
    <w:rsid w:val="00A63F18"/>
    <w:rsid w:val="00AD1423"/>
    <w:rsid w:val="00AD4AEE"/>
    <w:rsid w:val="00AF06A3"/>
    <w:rsid w:val="00B01968"/>
    <w:rsid w:val="00B22E99"/>
    <w:rsid w:val="00B27D01"/>
    <w:rsid w:val="00B47197"/>
    <w:rsid w:val="00B72169"/>
    <w:rsid w:val="00B74218"/>
    <w:rsid w:val="00B77A7F"/>
    <w:rsid w:val="00B86FC7"/>
    <w:rsid w:val="00B912C3"/>
    <w:rsid w:val="00BB1771"/>
    <w:rsid w:val="00BB19AC"/>
    <w:rsid w:val="00BB5A91"/>
    <w:rsid w:val="00BC26CE"/>
    <w:rsid w:val="00BF10B0"/>
    <w:rsid w:val="00BF6DBC"/>
    <w:rsid w:val="00C01F47"/>
    <w:rsid w:val="00C16E8E"/>
    <w:rsid w:val="00C261EA"/>
    <w:rsid w:val="00C40213"/>
    <w:rsid w:val="00C444A7"/>
    <w:rsid w:val="00C47B34"/>
    <w:rsid w:val="00C55909"/>
    <w:rsid w:val="00C726EA"/>
    <w:rsid w:val="00C74A1D"/>
    <w:rsid w:val="00CB2B44"/>
    <w:rsid w:val="00CB4074"/>
    <w:rsid w:val="00CC1C1D"/>
    <w:rsid w:val="00CE59F7"/>
    <w:rsid w:val="00CF25D5"/>
    <w:rsid w:val="00CF33AD"/>
    <w:rsid w:val="00CF656A"/>
    <w:rsid w:val="00CF67E2"/>
    <w:rsid w:val="00D01603"/>
    <w:rsid w:val="00D0258C"/>
    <w:rsid w:val="00D0270E"/>
    <w:rsid w:val="00D20550"/>
    <w:rsid w:val="00D22DEC"/>
    <w:rsid w:val="00D3638C"/>
    <w:rsid w:val="00D52194"/>
    <w:rsid w:val="00D65C24"/>
    <w:rsid w:val="00D744EE"/>
    <w:rsid w:val="00DA50A8"/>
    <w:rsid w:val="00DA74F6"/>
    <w:rsid w:val="00DB4182"/>
    <w:rsid w:val="00DC4BAC"/>
    <w:rsid w:val="00DD4526"/>
    <w:rsid w:val="00DD4977"/>
    <w:rsid w:val="00DE01B4"/>
    <w:rsid w:val="00DF27A8"/>
    <w:rsid w:val="00DF43EA"/>
    <w:rsid w:val="00E261EB"/>
    <w:rsid w:val="00E5758C"/>
    <w:rsid w:val="00E652FE"/>
    <w:rsid w:val="00E7228E"/>
    <w:rsid w:val="00E82B25"/>
    <w:rsid w:val="00E82D1D"/>
    <w:rsid w:val="00E85DD3"/>
    <w:rsid w:val="00E92831"/>
    <w:rsid w:val="00E9313B"/>
    <w:rsid w:val="00E9547F"/>
    <w:rsid w:val="00EB7A63"/>
    <w:rsid w:val="00EC5F5A"/>
    <w:rsid w:val="00EE4A70"/>
    <w:rsid w:val="00F01DCD"/>
    <w:rsid w:val="00F30C27"/>
    <w:rsid w:val="00F51570"/>
    <w:rsid w:val="00F62951"/>
    <w:rsid w:val="00F6591E"/>
    <w:rsid w:val="00F66BA9"/>
    <w:rsid w:val="00F74EA2"/>
    <w:rsid w:val="00F82861"/>
    <w:rsid w:val="00FA12D5"/>
    <w:rsid w:val="00FA3E0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91567A1"/>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71"/>
    <w:pPr>
      <w:spacing w:before="120" w:after="0" w:line="360" w:lineRule="auto"/>
      <w:jc w:val="both"/>
    </w:pPr>
    <w:rPr>
      <w:rFonts w:ascii="Arial" w:hAnsi="Arial"/>
      <w:sz w:val="24"/>
    </w:rPr>
  </w:style>
  <w:style w:type="paragraph" w:styleId="Heading1">
    <w:name w:val="heading 1"/>
    <w:basedOn w:val="Normal"/>
    <w:next w:val="Normal"/>
    <w:link w:val="Heading1Char"/>
    <w:uiPriority w:val="9"/>
    <w:qFormat/>
    <w:rsid w:val="0099678F"/>
    <w:pPr>
      <w:keepNext/>
      <w:keepLines/>
      <w:numPr>
        <w:numId w:val="13"/>
      </w:numPr>
      <w:spacing w:before="360"/>
      <w:jc w:val="left"/>
      <w:outlineLvl w:val="0"/>
    </w:pPr>
    <w:rPr>
      <w:rFonts w:eastAsiaTheme="majorEastAsia" w:cstheme="majorBidi"/>
      <w:b/>
      <w:szCs w:val="32"/>
      <w:lang w:val="en-GB"/>
    </w:rPr>
  </w:style>
  <w:style w:type="paragraph" w:styleId="Heading2">
    <w:name w:val="heading 2"/>
    <w:basedOn w:val="Normal"/>
    <w:next w:val="Normal"/>
    <w:link w:val="Heading2Char"/>
    <w:uiPriority w:val="9"/>
    <w:unhideWhenUsed/>
    <w:qFormat/>
    <w:rsid w:val="00E9547F"/>
    <w:pPr>
      <w:keepNext/>
      <w:keepLines/>
      <w:numPr>
        <w:ilvl w:val="1"/>
        <w:numId w:val="13"/>
      </w:numPr>
      <w:spacing w:before="360"/>
      <w:ind w:left="431" w:hanging="431"/>
      <w:jc w:val="left"/>
      <w:outlineLvl w:val="1"/>
    </w:pPr>
    <w:rPr>
      <w:rFonts w:eastAsiaTheme="majorEastAsia" w:cstheme="majorBidi"/>
      <w:i/>
      <w:szCs w:val="26"/>
      <w:lang w:val="en-GB"/>
    </w:rPr>
  </w:style>
  <w:style w:type="paragraph" w:styleId="Heading3">
    <w:name w:val="heading 3"/>
    <w:basedOn w:val="Normal"/>
    <w:next w:val="Normal"/>
    <w:link w:val="Heading3Char"/>
    <w:uiPriority w:val="9"/>
    <w:unhideWhenUsed/>
    <w:qFormat/>
    <w:rsid w:val="00746F81"/>
    <w:pPr>
      <w:keepNext/>
      <w:keepLines/>
      <w:numPr>
        <w:ilvl w:val="2"/>
        <w:numId w:val="3"/>
      </w:numPr>
      <w:spacing w:before="240"/>
      <w:ind w:left="0" w:firstLine="0"/>
      <w:outlineLvl w:val="2"/>
    </w:pPr>
    <w:rPr>
      <w:rFonts w:eastAsiaTheme="majorEastAsia" w:cstheme="majorBidi"/>
      <w:szCs w:val="24"/>
      <w:lang w:val="en-GB"/>
    </w:rPr>
  </w:style>
  <w:style w:type="paragraph" w:styleId="Heading4">
    <w:name w:val="heading 4"/>
    <w:basedOn w:val="Normal"/>
    <w:next w:val="Normal"/>
    <w:link w:val="Heading4Char"/>
    <w:uiPriority w:val="9"/>
    <w:unhideWhenUsed/>
    <w:qFormat/>
    <w:rsid w:val="00746F81"/>
    <w:pPr>
      <w:keepNext/>
      <w:keepLines/>
      <w:numPr>
        <w:ilvl w:val="3"/>
        <w:numId w:val="3"/>
      </w:numPr>
      <w:spacing w:before="240"/>
      <w:ind w:left="1213" w:hanging="646"/>
      <w:outlineLvl w:val="3"/>
    </w:pPr>
    <w:rPr>
      <w:rFonts w:eastAsiaTheme="majorEastAsia" w:cs="Arial"/>
      <w:i/>
      <w:iCs/>
      <w:lang w:val="en-GB"/>
    </w:rPr>
  </w:style>
  <w:style w:type="paragraph" w:styleId="Heading5">
    <w:name w:val="heading 5"/>
    <w:basedOn w:val="Normal"/>
    <w:next w:val="Normal"/>
    <w:link w:val="Heading5Char"/>
    <w:uiPriority w:val="9"/>
    <w:semiHidden/>
    <w:unhideWhenUsed/>
    <w:qFormat/>
    <w:rsid w:val="00AF06A3"/>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06A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06A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06A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06A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7A4"/>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9547F"/>
    <w:rPr>
      <w:rFonts w:ascii="Arial" w:eastAsiaTheme="majorEastAsia" w:hAnsi="Arial" w:cstheme="majorBidi"/>
      <w:i/>
      <w:sz w:val="24"/>
      <w:szCs w:val="26"/>
      <w:lang w:val="en-GB"/>
    </w:rPr>
  </w:style>
  <w:style w:type="paragraph" w:styleId="Title">
    <w:name w:val="Title"/>
    <w:basedOn w:val="Normal"/>
    <w:next w:val="Normal"/>
    <w:link w:val="Title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B1F86"/>
    <w:rPr>
      <w:color w:val="605E5C"/>
      <w:shd w:val="clear" w:color="auto" w:fill="E1DFDD"/>
    </w:rPr>
  </w:style>
  <w:style w:type="paragraph" w:styleId="ListParagraph">
    <w:name w:val="List Paragraph"/>
    <w:basedOn w:val="Normal"/>
    <w:qFormat/>
    <w:rsid w:val="00DF43EA"/>
    <w:pPr>
      <w:ind w:left="720"/>
      <w:contextualSpacing/>
    </w:pPr>
  </w:style>
  <w:style w:type="character" w:customStyle="1" w:styleId="Heading1Char">
    <w:name w:val="Heading 1 Char"/>
    <w:basedOn w:val="DefaultParagraphFont"/>
    <w:link w:val="Heading1"/>
    <w:uiPriority w:val="9"/>
    <w:rsid w:val="0099678F"/>
    <w:rPr>
      <w:rFonts w:ascii="Arial" w:eastAsiaTheme="majorEastAsia" w:hAnsi="Arial" w:cstheme="majorBidi"/>
      <w:b/>
      <w:sz w:val="24"/>
      <w:szCs w:val="32"/>
      <w:lang w:val="en-GB"/>
    </w:rPr>
  </w:style>
  <w:style w:type="character" w:customStyle="1" w:styleId="Heading3Char">
    <w:name w:val="Heading 3 Char"/>
    <w:basedOn w:val="DefaultParagraphFont"/>
    <w:link w:val="Heading3"/>
    <w:uiPriority w:val="9"/>
    <w:rsid w:val="00746F81"/>
    <w:rPr>
      <w:rFonts w:ascii="Arial" w:eastAsiaTheme="majorEastAsia" w:hAnsi="Arial" w:cstheme="majorBidi"/>
      <w:sz w:val="24"/>
      <w:szCs w:val="24"/>
      <w:lang w:val="en-GB"/>
    </w:rPr>
  </w:style>
  <w:style w:type="character" w:customStyle="1" w:styleId="Heading4Char">
    <w:name w:val="Heading 4 Char"/>
    <w:basedOn w:val="DefaultParagraphFont"/>
    <w:link w:val="Heading4"/>
    <w:uiPriority w:val="9"/>
    <w:rsid w:val="00746F81"/>
    <w:rPr>
      <w:rFonts w:ascii="Arial" w:eastAsiaTheme="majorEastAsia" w:hAnsi="Arial" w:cs="Arial"/>
      <w:i/>
      <w:iCs/>
      <w:sz w:val="24"/>
      <w:lang w:val="en-GB"/>
    </w:rPr>
  </w:style>
  <w:style w:type="paragraph" w:customStyle="1" w:styleId="Default">
    <w:name w:val="Default"/>
    <w:rsid w:val="004876B2"/>
    <w:pPr>
      <w:autoSpaceDE w:val="0"/>
      <w:autoSpaceDN w:val="0"/>
      <w:adjustRightInd w:val="0"/>
      <w:spacing w:after="0" w:line="240" w:lineRule="auto"/>
    </w:pPr>
    <w:rPr>
      <w:rFonts w:ascii="Calibri" w:hAnsi="Calibri" w:cs="Calibri"/>
      <w:color w:val="000000"/>
      <w:sz w:val="24"/>
      <w:szCs w:val="24"/>
      <w:lang w:val="en-US"/>
    </w:rPr>
  </w:style>
  <w:style w:type="character" w:customStyle="1" w:styleId="ilfuvd">
    <w:name w:val="ilfuvd"/>
    <w:basedOn w:val="DefaultParagraphFont"/>
    <w:rsid w:val="004876B2"/>
  </w:style>
  <w:style w:type="character" w:customStyle="1" w:styleId="Heading5Char">
    <w:name w:val="Heading 5 Char"/>
    <w:basedOn w:val="DefaultParagraphFont"/>
    <w:link w:val="Heading5"/>
    <w:uiPriority w:val="9"/>
    <w:semiHidden/>
    <w:rsid w:val="00AF06A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F06A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F06A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F06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06A3"/>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557EF"/>
    <w:rPr>
      <w:b/>
      <w:bCs/>
      <w:i w:val="0"/>
      <w:iCs w:val="0"/>
    </w:rPr>
  </w:style>
  <w:style w:type="character" w:customStyle="1" w:styleId="reference-text">
    <w:name w:val="reference-text"/>
    <w:basedOn w:val="DefaultParagraphFont"/>
    <w:rsid w:val="006557EF"/>
  </w:style>
  <w:style w:type="character" w:styleId="Strong">
    <w:name w:val="Strong"/>
    <w:basedOn w:val="DefaultParagraphFont"/>
    <w:uiPriority w:val="22"/>
    <w:qFormat/>
    <w:rsid w:val="006557EF"/>
    <w:rPr>
      <w:b/>
      <w:bCs/>
    </w:rPr>
  </w:style>
  <w:style w:type="character" w:styleId="FollowedHyperlink">
    <w:name w:val="FollowedHyperlink"/>
    <w:basedOn w:val="DefaultParagraphFont"/>
    <w:uiPriority w:val="99"/>
    <w:semiHidden/>
    <w:unhideWhenUsed/>
    <w:rsid w:val="00B01968"/>
    <w:rPr>
      <w:color w:val="954F72" w:themeColor="followedHyperlink"/>
      <w:u w:val="single"/>
    </w:rPr>
  </w:style>
  <w:style w:type="paragraph" w:customStyle="1" w:styleId="Standard">
    <w:name w:val="Standard"/>
    <w:rsid w:val="008A44A9"/>
    <w:pPr>
      <w:suppressAutoHyphens/>
      <w:autoSpaceDN w:val="0"/>
      <w:spacing w:before="120" w:after="0" w:line="360" w:lineRule="auto"/>
      <w:jc w:val="both"/>
      <w:textAlignment w:val="baseline"/>
    </w:pPr>
    <w:rPr>
      <w:rFonts w:ascii="Arial" w:eastAsia="Arial" w:hAnsi="Arial" w:cs="Arial"/>
      <w:sz w:val="24"/>
    </w:rPr>
  </w:style>
  <w:style w:type="numbering" w:customStyle="1" w:styleId="WWNum6">
    <w:name w:val="WWNum6"/>
    <w:basedOn w:val="NoList"/>
    <w:rsid w:val="008A44A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lthingi.is/lagas/nuna/1989089.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ice.is/about-statistics-iceland/laws-and-regulations/act-on-the-wage-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uss.stat.su.se/master/es/CPIM-TP.pdf" TargetMode="External"/><Relationship Id="rId5" Type="http://schemas.openxmlformats.org/officeDocument/2006/relationships/webSettings" Target="webSettings.xml"/><Relationship Id="rId15" Type="http://schemas.openxmlformats.org/officeDocument/2006/relationships/hyperlink" Target="https://www.stjornarradid.is/lisalib/getfile.aspx?itemid=40395405-2616-11e9-942f-005056bc4d74" TargetMode="Externa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agstofan.s3.amazonaws.com/media/public/2018/e2c06929-b8a3-4866-8086-8f6291f943d9_SG5weZ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ce.is/statistics/society/wages-and-in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manni\hagstofa\Hagt&#237;&#240;indi\Laun,%20tekjur%20og%20vinnumarka&#240;ur\Greinager&#240;_15_08_2018\Figures_1_to_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nni\hagstofa\Hagt&#237;&#240;indi\Laun,%20tekjur%20og%20vinnumarka&#240;ur\Greinager&#240;_15_08_2018\Figures_1_to_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nni\hagstofa\Hagt&#237;&#240;indi\Laun,%20tekjur%20og%20vinnumarka&#240;ur\Greinager&#240;_15_08_2018\Figures_1_to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Mean index numbers</a:t>
            </a:r>
          </a:p>
        </c:rich>
      </c:tx>
      <c:layout>
        <c:manualLayout>
          <c:xMode val="edge"/>
          <c:yMode val="edge"/>
          <c:x val="2.2662149500815958E-2"/>
          <c:y val="2.6575550493545937E-2"/>
        </c:manualLayout>
      </c:layout>
      <c:overlay val="0"/>
    </c:title>
    <c:autoTitleDeleted val="0"/>
    <c:plotArea>
      <c:layout>
        <c:manualLayout>
          <c:layoutTarget val="inner"/>
          <c:xMode val="edge"/>
          <c:yMode val="edge"/>
          <c:x val="0.10616637868417203"/>
          <c:y val="0.1275184796492462"/>
          <c:w val="0.85199387888161038"/>
          <c:h val="0.70004772130756387"/>
        </c:manualLayout>
      </c:layout>
      <c:scatterChart>
        <c:scatterStyle val="lineMarker"/>
        <c:varyColors val="0"/>
        <c:ser>
          <c:idx val="0"/>
          <c:order val="0"/>
          <c:tx>
            <c:strRef>
              <c:f>Fig_4!$F$1</c:f>
              <c:strCache>
                <c:ptCount val="1"/>
                <c:pt idx="0">
                  <c:v>mI</c:v>
                </c:pt>
              </c:strCache>
            </c:strRef>
          </c:tx>
          <c:spPr>
            <a:ln w="28575">
              <a:noFill/>
            </a:ln>
          </c:spPr>
          <c:marker>
            <c:symbol val="diamond"/>
            <c:size val="5"/>
          </c:marker>
          <c:xVal>
            <c:numRef>
              <c:f>Fig_4!$E$2:$E$136</c:f>
              <c:numCache>
                <c:formatCode>General</c:formatCode>
                <c:ptCount val="135"/>
                <c:pt idx="0">
                  <c:v>1</c:v>
                </c:pt>
                <c:pt idx="1">
                  <c:v>2</c:v>
                </c:pt>
                <c:pt idx="2">
                  <c:v>3</c:v>
                </c:pt>
                <c:pt idx="3">
                  <c:v>4</c:v>
                </c:pt>
                <c:pt idx="4">
                  <c:v>5</c:v>
                </c:pt>
                <c:pt idx="5">
                  <c:v>6</c:v>
                </c:pt>
                <c:pt idx="6">
                  <c:v>7</c:v>
                </c:pt>
                <c:pt idx="7">
                  <c:v>8</c:v>
                </c:pt>
                <c:pt idx="8">
                  <c:v>9</c:v>
                </c:pt>
                <c:pt idx="9">
                  <c:v>10</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pt idx="73">
                  <c:v>75</c:v>
                </c:pt>
                <c:pt idx="74">
                  <c:v>76</c:v>
                </c:pt>
                <c:pt idx="75">
                  <c:v>77</c:v>
                </c:pt>
                <c:pt idx="76">
                  <c:v>78</c:v>
                </c:pt>
                <c:pt idx="77">
                  <c:v>79</c:v>
                </c:pt>
                <c:pt idx="78">
                  <c:v>80</c:v>
                </c:pt>
                <c:pt idx="79">
                  <c:v>81</c:v>
                </c:pt>
                <c:pt idx="80">
                  <c:v>82</c:v>
                </c:pt>
                <c:pt idx="81">
                  <c:v>83</c:v>
                </c:pt>
                <c:pt idx="82">
                  <c:v>84</c:v>
                </c:pt>
                <c:pt idx="83">
                  <c:v>85</c:v>
                </c:pt>
                <c:pt idx="84">
                  <c:v>86</c:v>
                </c:pt>
                <c:pt idx="85">
                  <c:v>87</c:v>
                </c:pt>
                <c:pt idx="86">
                  <c:v>88</c:v>
                </c:pt>
                <c:pt idx="87">
                  <c:v>89</c:v>
                </c:pt>
                <c:pt idx="88">
                  <c:v>90</c:v>
                </c:pt>
                <c:pt idx="89">
                  <c:v>91</c:v>
                </c:pt>
                <c:pt idx="90">
                  <c:v>92</c:v>
                </c:pt>
                <c:pt idx="91">
                  <c:v>93</c:v>
                </c:pt>
                <c:pt idx="92">
                  <c:v>94</c:v>
                </c:pt>
                <c:pt idx="93">
                  <c:v>95</c:v>
                </c:pt>
                <c:pt idx="94">
                  <c:v>96</c:v>
                </c:pt>
                <c:pt idx="95">
                  <c:v>97</c:v>
                </c:pt>
                <c:pt idx="96">
                  <c:v>98</c:v>
                </c:pt>
                <c:pt idx="97">
                  <c:v>99</c:v>
                </c:pt>
                <c:pt idx="98">
                  <c:v>100</c:v>
                </c:pt>
                <c:pt idx="99">
                  <c:v>101</c:v>
                </c:pt>
                <c:pt idx="100">
                  <c:v>102</c:v>
                </c:pt>
                <c:pt idx="101">
                  <c:v>103</c:v>
                </c:pt>
                <c:pt idx="102">
                  <c:v>104</c:v>
                </c:pt>
                <c:pt idx="103">
                  <c:v>105</c:v>
                </c:pt>
                <c:pt idx="104">
                  <c:v>106</c:v>
                </c:pt>
                <c:pt idx="105">
                  <c:v>107</c:v>
                </c:pt>
                <c:pt idx="106">
                  <c:v>108</c:v>
                </c:pt>
                <c:pt idx="107">
                  <c:v>109</c:v>
                </c:pt>
                <c:pt idx="108">
                  <c:v>110</c:v>
                </c:pt>
                <c:pt idx="109">
                  <c:v>111</c:v>
                </c:pt>
                <c:pt idx="110">
                  <c:v>112</c:v>
                </c:pt>
                <c:pt idx="111">
                  <c:v>113</c:v>
                </c:pt>
                <c:pt idx="112">
                  <c:v>114</c:v>
                </c:pt>
                <c:pt idx="113">
                  <c:v>115</c:v>
                </c:pt>
                <c:pt idx="114">
                  <c:v>116</c:v>
                </c:pt>
                <c:pt idx="115">
                  <c:v>117</c:v>
                </c:pt>
                <c:pt idx="116">
                  <c:v>118</c:v>
                </c:pt>
                <c:pt idx="117">
                  <c:v>119</c:v>
                </c:pt>
                <c:pt idx="118">
                  <c:v>120</c:v>
                </c:pt>
                <c:pt idx="119">
                  <c:v>121</c:v>
                </c:pt>
                <c:pt idx="120">
                  <c:v>122</c:v>
                </c:pt>
                <c:pt idx="121">
                  <c:v>123</c:v>
                </c:pt>
                <c:pt idx="122">
                  <c:v>124</c:v>
                </c:pt>
                <c:pt idx="123">
                  <c:v>125</c:v>
                </c:pt>
                <c:pt idx="124">
                  <c:v>126</c:v>
                </c:pt>
                <c:pt idx="125">
                  <c:v>127</c:v>
                </c:pt>
                <c:pt idx="126">
                  <c:v>128</c:v>
                </c:pt>
                <c:pt idx="127">
                  <c:v>129</c:v>
                </c:pt>
                <c:pt idx="128">
                  <c:v>130</c:v>
                </c:pt>
                <c:pt idx="129">
                  <c:v>131</c:v>
                </c:pt>
                <c:pt idx="130">
                  <c:v>132</c:v>
                </c:pt>
                <c:pt idx="131">
                  <c:v>133</c:v>
                </c:pt>
                <c:pt idx="132">
                  <c:v>134</c:v>
                </c:pt>
                <c:pt idx="133">
                  <c:v>135</c:v>
                </c:pt>
                <c:pt idx="134">
                  <c:v>136</c:v>
                </c:pt>
              </c:numCache>
            </c:numRef>
          </c:xVal>
          <c:yVal>
            <c:numRef>
              <c:f>Fig_4!$F$2:$F$136</c:f>
              <c:numCache>
                <c:formatCode>General</c:formatCode>
                <c:ptCount val="135"/>
                <c:pt idx="0">
                  <c:v>1.8119313573745299E-6</c:v>
                </c:pt>
                <c:pt idx="1">
                  <c:v>-1.3865009243648001E-6</c:v>
                </c:pt>
                <c:pt idx="2">
                  <c:v>-7.4529053002223796E-6</c:v>
                </c:pt>
                <c:pt idx="3">
                  <c:v>3.1570760529731102E-6</c:v>
                </c:pt>
                <c:pt idx="4">
                  <c:v>-2.6377681777235898E-6</c:v>
                </c:pt>
                <c:pt idx="5">
                  <c:v>4.9930826893497703E-5</c:v>
                </c:pt>
                <c:pt idx="6">
                  <c:v>0</c:v>
                </c:pt>
                <c:pt idx="8">
                  <c:v>-4.9142203195628998E-7</c:v>
                </c:pt>
                <c:pt idx="9">
                  <c:v>0</c:v>
                </c:pt>
                <c:pt idx="10">
                  <c:v>3.2959736706916798E-5</c:v>
                </c:pt>
                <c:pt idx="11">
                  <c:v>2.2260835543271501E-5</c:v>
                </c:pt>
                <c:pt idx="12">
                  <c:v>1.37051200217944E-5</c:v>
                </c:pt>
                <c:pt idx="13">
                  <c:v>1.9372650975133899E-5</c:v>
                </c:pt>
                <c:pt idx="14">
                  <c:v>2.8643877943371299E-5</c:v>
                </c:pt>
                <c:pt idx="15">
                  <c:v>1.9445135368596599E-5</c:v>
                </c:pt>
                <c:pt idx="16">
                  <c:v>3.1671966027402801E-5</c:v>
                </c:pt>
                <c:pt idx="17">
                  <c:v>1.49461734834801E-5</c:v>
                </c:pt>
                <c:pt idx="18">
                  <c:v>2.1447560908374699E-5</c:v>
                </c:pt>
                <c:pt idx="19">
                  <c:v>1.5590792340206898E-5</c:v>
                </c:pt>
                <c:pt idx="20">
                  <c:v>1.8787965507385202E-5</c:v>
                </c:pt>
                <c:pt idx="21">
                  <c:v>4.9952253683954701E-6</c:v>
                </c:pt>
                <c:pt idx="22">
                  <c:v>2.2589900023207499E-5</c:v>
                </c:pt>
                <c:pt idx="23">
                  <c:v>2.62983888104871E-5</c:v>
                </c:pt>
                <c:pt idx="24">
                  <c:v>3.0557738933784603E-5</c:v>
                </c:pt>
                <c:pt idx="25">
                  <c:v>3.1376208004973298E-5</c:v>
                </c:pt>
                <c:pt idx="26">
                  <c:v>2.6819617497275801E-5</c:v>
                </c:pt>
                <c:pt idx="27">
                  <c:v>1.48713698266814E-5</c:v>
                </c:pt>
                <c:pt idx="28">
                  <c:v>2.40443642687016E-5</c:v>
                </c:pt>
                <c:pt idx="29">
                  <c:v>5.9719626875292902E-6</c:v>
                </c:pt>
                <c:pt idx="30">
                  <c:v>2.52309205812283E-5</c:v>
                </c:pt>
                <c:pt idx="31">
                  <c:v>1.1252959964355999E-5</c:v>
                </c:pt>
                <c:pt idx="32">
                  <c:v>2.10883963054158E-5</c:v>
                </c:pt>
                <c:pt idx="33">
                  <c:v>2.4318212892806001E-5</c:v>
                </c:pt>
                <c:pt idx="34">
                  <c:v>2.29792391036409E-5</c:v>
                </c:pt>
                <c:pt idx="35">
                  <c:v>2.4238327690787602E-5</c:v>
                </c:pt>
                <c:pt idx="36">
                  <c:v>2.9938466177581899E-5</c:v>
                </c:pt>
                <c:pt idx="37">
                  <c:v>2.2740886319543701E-5</c:v>
                </c:pt>
                <c:pt idx="38">
                  <c:v>1.8841612605012899E-5</c:v>
                </c:pt>
                <c:pt idx="39">
                  <c:v>2.6753312267747999E-5</c:v>
                </c:pt>
                <c:pt idx="40">
                  <c:v>2.6277377356052199E-6</c:v>
                </c:pt>
                <c:pt idx="41">
                  <c:v>1.20243184898346E-5</c:v>
                </c:pt>
                <c:pt idx="42">
                  <c:v>3.3355843403468099E-5</c:v>
                </c:pt>
                <c:pt idx="43">
                  <c:v>3.5577291544394902E-6</c:v>
                </c:pt>
                <c:pt idx="44">
                  <c:v>1.32345034835691E-5</c:v>
                </c:pt>
                <c:pt idx="45">
                  <c:v>1.29895459439689E-5</c:v>
                </c:pt>
                <c:pt idx="46">
                  <c:v>-1.0203950615322E-5</c:v>
                </c:pt>
                <c:pt idx="47">
                  <c:v>2.80999179612136E-5</c:v>
                </c:pt>
                <c:pt idx="48">
                  <c:v>1.5654429996567202E-5</c:v>
                </c:pt>
                <c:pt idx="49">
                  <c:v>1.9583921928686301E-5</c:v>
                </c:pt>
                <c:pt idx="50">
                  <c:v>2.1153619159442401E-5</c:v>
                </c:pt>
                <c:pt idx="51">
                  <c:v>2.8827194029276401E-5</c:v>
                </c:pt>
                <c:pt idx="52">
                  <c:v>1.43056465423814E-5</c:v>
                </c:pt>
                <c:pt idx="53">
                  <c:v>2.4026430874471298E-5</c:v>
                </c:pt>
                <c:pt idx="54">
                  <c:v>2.3629080588126399E-5</c:v>
                </c:pt>
                <c:pt idx="55">
                  <c:v>5.7300110653292697E-6</c:v>
                </c:pt>
                <c:pt idx="56">
                  <c:v>2.0812528990961502E-5</c:v>
                </c:pt>
                <c:pt idx="57">
                  <c:v>3.3808959119377499E-5</c:v>
                </c:pt>
                <c:pt idx="58">
                  <c:v>3.0362902394160201E-5</c:v>
                </c:pt>
                <c:pt idx="59">
                  <c:v>2.79683720038599E-5</c:v>
                </c:pt>
                <c:pt idx="60">
                  <c:v>1.3312650240373001E-5</c:v>
                </c:pt>
                <c:pt idx="61">
                  <c:v>3.8260734461175197E-5</c:v>
                </c:pt>
                <c:pt idx="62">
                  <c:v>2.3711967119259599E-5</c:v>
                </c:pt>
                <c:pt idx="63">
                  <c:v>2.44434656076214E-5</c:v>
                </c:pt>
                <c:pt idx="64">
                  <c:v>9.3854057705572701E-6</c:v>
                </c:pt>
                <c:pt idx="65">
                  <c:v>9.0707020255884095E-6</c:v>
                </c:pt>
                <c:pt idx="66">
                  <c:v>1.8509293673752602E-5</c:v>
                </c:pt>
                <c:pt idx="67">
                  <c:v>1.6457058048430099E-5</c:v>
                </c:pt>
                <c:pt idx="68">
                  <c:v>1.5676428833553602E-5</c:v>
                </c:pt>
                <c:pt idx="69">
                  <c:v>1.2242633740821E-5</c:v>
                </c:pt>
                <c:pt idx="70">
                  <c:v>2.7158998643928998E-5</c:v>
                </c:pt>
                <c:pt idx="71">
                  <c:v>2.0336793026591101E-5</c:v>
                </c:pt>
                <c:pt idx="72">
                  <c:v>2.437884454045E-5</c:v>
                </c:pt>
                <c:pt idx="73">
                  <c:v>1.38707649848263E-5</c:v>
                </c:pt>
                <c:pt idx="74">
                  <c:v>2.9956930898667201E-5</c:v>
                </c:pt>
                <c:pt idx="75">
                  <c:v>3.1203467787463299E-5</c:v>
                </c:pt>
                <c:pt idx="76">
                  <c:v>1.30664068484262E-5</c:v>
                </c:pt>
                <c:pt idx="77">
                  <c:v>2.4197230771725801E-5</c:v>
                </c:pt>
                <c:pt idx="78">
                  <c:v>1.8570598758563699E-5</c:v>
                </c:pt>
                <c:pt idx="79">
                  <c:v>2.1300996114701201E-5</c:v>
                </c:pt>
                <c:pt idx="80">
                  <c:v>3.0906681328390799E-5</c:v>
                </c:pt>
                <c:pt idx="81">
                  <c:v>5.8386295421232202E-5</c:v>
                </c:pt>
                <c:pt idx="82">
                  <c:v>4.1453382563946299E-5</c:v>
                </c:pt>
                <c:pt idx="83">
                  <c:v>2.2776328895076101E-5</c:v>
                </c:pt>
                <c:pt idx="84">
                  <c:v>2.8845199630900101E-5</c:v>
                </c:pt>
                <c:pt idx="85">
                  <c:v>1.8574532077196402E-5</c:v>
                </c:pt>
                <c:pt idx="86">
                  <c:v>4.2808676976946602E-5</c:v>
                </c:pt>
                <c:pt idx="87">
                  <c:v>1.9454937363380299E-5</c:v>
                </c:pt>
                <c:pt idx="88">
                  <c:v>1.41500576175943E-5</c:v>
                </c:pt>
                <c:pt idx="89">
                  <c:v>2.2902410407594399E-5</c:v>
                </c:pt>
                <c:pt idx="90">
                  <c:v>-1.29446323867359E-5</c:v>
                </c:pt>
                <c:pt idx="91">
                  <c:v>1.2408766187961099E-5</c:v>
                </c:pt>
                <c:pt idx="92">
                  <c:v>1.80806597907488E-5</c:v>
                </c:pt>
                <c:pt idx="93">
                  <c:v>3.96813388689417E-6</c:v>
                </c:pt>
                <c:pt idx="94">
                  <c:v>-1.28067934408484E-6</c:v>
                </c:pt>
                <c:pt idx="95">
                  <c:v>8.6050321519824602E-7</c:v>
                </c:pt>
                <c:pt idx="96">
                  <c:v>3.0328334135284699E-5</c:v>
                </c:pt>
                <c:pt idx="97">
                  <c:v>4.7452642785459698E-6</c:v>
                </c:pt>
                <c:pt idx="98">
                  <c:v>1.9060793024600002E-5</c:v>
                </c:pt>
                <c:pt idx="99">
                  <c:v>6.8058558496320701E-5</c:v>
                </c:pt>
                <c:pt idx="100">
                  <c:v>3.3870838270826803E-5</c:v>
                </c:pt>
                <c:pt idx="101">
                  <c:v>1.34545092827204E-5</c:v>
                </c:pt>
                <c:pt idx="102">
                  <c:v>3.2923346269228598E-5</c:v>
                </c:pt>
                <c:pt idx="103">
                  <c:v>2.9011778824061199E-5</c:v>
                </c:pt>
                <c:pt idx="104">
                  <c:v>3.7233668809829303E-5</c:v>
                </c:pt>
                <c:pt idx="105">
                  <c:v>3.8899667898575301E-5</c:v>
                </c:pt>
                <c:pt idx="106">
                  <c:v>-5.1147047791006199E-7</c:v>
                </c:pt>
                <c:pt idx="107">
                  <c:v>8.6419751902577094E-5</c:v>
                </c:pt>
                <c:pt idx="108">
                  <c:v>6.5909833994037996E-5</c:v>
                </c:pt>
                <c:pt idx="109">
                  <c:v>2.25817150913184E-5</c:v>
                </c:pt>
                <c:pt idx="110">
                  <c:v>3.06281837873713E-5</c:v>
                </c:pt>
                <c:pt idx="111">
                  <c:v>8.4642645645265303E-6</c:v>
                </c:pt>
                <c:pt idx="112">
                  <c:v>5.9592220641786901E-6</c:v>
                </c:pt>
                <c:pt idx="113">
                  <c:v>9.0911320804194808E-6</c:v>
                </c:pt>
                <c:pt idx="114">
                  <c:v>1.86056749534031E-5</c:v>
                </c:pt>
                <c:pt idx="115">
                  <c:v>1.0448553985806101E-6</c:v>
                </c:pt>
                <c:pt idx="116">
                  <c:v>8.9216045361113101E-6</c:v>
                </c:pt>
                <c:pt idx="117">
                  <c:v>1.03044223018989E-5</c:v>
                </c:pt>
                <c:pt idx="118">
                  <c:v>-2.8291073338697502E-5</c:v>
                </c:pt>
                <c:pt idx="119">
                  <c:v>2.7383710171389701E-5</c:v>
                </c:pt>
                <c:pt idx="120">
                  <c:v>9.6782818798314807E-6</c:v>
                </c:pt>
                <c:pt idx="121">
                  <c:v>1.04588897884113E-5</c:v>
                </c:pt>
                <c:pt idx="122">
                  <c:v>1.4606390110530001E-4</c:v>
                </c:pt>
                <c:pt idx="123">
                  <c:v>1.3362840522966E-5</c:v>
                </c:pt>
                <c:pt idx="124">
                  <c:v>6.6116394785845804E-6</c:v>
                </c:pt>
                <c:pt idx="125">
                  <c:v>1.3686063932074801E-5</c:v>
                </c:pt>
                <c:pt idx="126">
                  <c:v>9.3456560407092697E-6</c:v>
                </c:pt>
                <c:pt idx="127">
                  <c:v>1.1825246559628801E-5</c:v>
                </c:pt>
                <c:pt idx="128">
                  <c:v>3.8400261497129302E-6</c:v>
                </c:pt>
                <c:pt idx="129">
                  <c:v>1.4911439425648201E-5</c:v>
                </c:pt>
                <c:pt idx="130">
                  <c:v>1.01660545780498E-5</c:v>
                </c:pt>
                <c:pt idx="131">
                  <c:v>2.61454483379151E-5</c:v>
                </c:pt>
                <c:pt idx="132">
                  <c:v>-3.8667057086050698E-7</c:v>
                </c:pt>
                <c:pt idx="133">
                  <c:v>1.47323705869515E-5</c:v>
                </c:pt>
                <c:pt idx="134">
                  <c:v>1.3225347033353501E-4</c:v>
                </c:pt>
              </c:numCache>
            </c:numRef>
          </c:yVal>
          <c:smooth val="0"/>
          <c:extLst>
            <c:ext xmlns:c16="http://schemas.microsoft.com/office/drawing/2014/chart" uri="{C3380CC4-5D6E-409C-BE32-E72D297353CC}">
              <c16:uniqueId val="{00000000-D329-4115-8D91-AE513847DD2F}"/>
            </c:ext>
          </c:extLst>
        </c:ser>
        <c:dLbls>
          <c:showLegendKey val="0"/>
          <c:showVal val="0"/>
          <c:showCatName val="0"/>
          <c:showSerName val="0"/>
          <c:showPercent val="0"/>
          <c:showBubbleSize val="0"/>
        </c:dLbls>
        <c:axId val="203768576"/>
        <c:axId val="203770496"/>
      </c:scatterChart>
      <c:valAx>
        <c:axId val="203768576"/>
        <c:scaling>
          <c:orientation val="minMax"/>
          <c:max val="140"/>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Age of items (months)</a:t>
                </a:r>
              </a:p>
            </c:rich>
          </c:tx>
          <c:layout>
            <c:manualLayout>
              <c:xMode val="edge"/>
              <c:yMode val="edge"/>
              <c:x val="0.75853047863399092"/>
              <c:y val="0.90779068152437525"/>
            </c:manualLayout>
          </c:layout>
          <c:overlay val="0"/>
        </c:title>
        <c:numFmt formatCode="General" sourceLinked="1"/>
        <c:majorTickMark val="none"/>
        <c:minorTickMark val="none"/>
        <c:tickLblPos val="low"/>
        <c:txPr>
          <a:bodyPr/>
          <a:lstStyle/>
          <a:p>
            <a:pPr>
              <a:defRPr>
                <a:latin typeface="Arial" panose="020B0604020202020204" pitchFamily="34" charset="0"/>
                <a:cs typeface="Arial" panose="020B0604020202020204" pitchFamily="34" charset="0"/>
              </a:defRPr>
            </a:pPr>
            <a:endParaRPr lang="is-IS"/>
          </a:p>
        </c:txPr>
        <c:crossAx val="203770496"/>
        <c:crosses val="autoZero"/>
        <c:crossBetween val="midCat"/>
      </c:valAx>
      <c:valAx>
        <c:axId val="203770496"/>
        <c:scaling>
          <c:orientation val="minMax"/>
        </c:scaling>
        <c:delete val="0"/>
        <c:axPos val="l"/>
        <c:majorGridlines/>
        <c:numFmt formatCode="General" sourceLinked="1"/>
        <c:majorTickMark val="none"/>
        <c:minorTickMark val="none"/>
        <c:tickLblPos val="nextTo"/>
        <c:spPr>
          <a:ln>
            <a:noFill/>
          </a:ln>
        </c:spPr>
        <c:txPr>
          <a:bodyPr/>
          <a:lstStyle/>
          <a:p>
            <a:pPr>
              <a:defRPr sz="900">
                <a:latin typeface="Arial" panose="020B0604020202020204" pitchFamily="34" charset="0"/>
                <a:cs typeface="Arial" panose="020B0604020202020204" pitchFamily="34" charset="0"/>
              </a:defRPr>
            </a:pPr>
            <a:endParaRPr lang="is-IS"/>
          </a:p>
        </c:txPr>
        <c:crossAx val="203768576"/>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Variation of direct index</a:t>
            </a:r>
          </a:p>
        </c:rich>
      </c:tx>
      <c:layout>
        <c:manualLayout>
          <c:xMode val="edge"/>
          <c:yMode val="edge"/>
          <c:x val="1.4145888013998251E-2"/>
          <c:y val="4.1666666666666664E-2"/>
        </c:manualLayout>
      </c:layout>
      <c:overlay val="0"/>
    </c:title>
    <c:autoTitleDeleted val="0"/>
    <c:plotArea>
      <c:layout/>
      <c:scatterChart>
        <c:scatterStyle val="lineMarker"/>
        <c:varyColors val="0"/>
        <c:ser>
          <c:idx val="0"/>
          <c:order val="0"/>
          <c:tx>
            <c:strRef>
              <c:f>Fig_2!$H$1</c:f>
              <c:strCache>
                <c:ptCount val="1"/>
                <c:pt idx="0">
                  <c:v>IdVar</c:v>
                </c:pt>
              </c:strCache>
            </c:strRef>
          </c:tx>
          <c:spPr>
            <a:ln w="28575">
              <a:noFill/>
            </a:ln>
          </c:spPr>
          <c:marker>
            <c:symbol val="diamond"/>
            <c:size val="5"/>
            <c:spPr>
              <a:solidFill>
                <a:schemeClr val="accent1"/>
              </a:solidFill>
            </c:spPr>
          </c:marker>
          <c:xVal>
            <c:numRef>
              <c:f>Fig_2!$G$2:$G$34</c:f>
              <c:numCache>
                <c:formatCode>General</c:formatCode>
                <c:ptCount val="33"/>
                <c:pt idx="0">
                  <c:v>7.37187E-3</c:v>
                </c:pt>
                <c:pt idx="1">
                  <c:v>5.7398299999999996E-3</c:v>
                </c:pt>
                <c:pt idx="2">
                  <c:v>6.0190699999999996E-3</c:v>
                </c:pt>
                <c:pt idx="3">
                  <c:v>3.09596E-2</c:v>
                </c:pt>
                <c:pt idx="4">
                  <c:v>4.1787299999999999E-2</c:v>
                </c:pt>
                <c:pt idx="5">
                  <c:v>1.4627899999999999E-2</c:v>
                </c:pt>
                <c:pt idx="6">
                  <c:v>1.30879E-2</c:v>
                </c:pt>
                <c:pt idx="7">
                  <c:v>1.7558799999999999E-2</c:v>
                </c:pt>
                <c:pt idx="8">
                  <c:v>9.6113899999999992E-3</c:v>
                </c:pt>
                <c:pt idx="9">
                  <c:v>5.90012E-3</c:v>
                </c:pt>
                <c:pt idx="10">
                  <c:v>5.2818700000000003E-2</c:v>
                </c:pt>
                <c:pt idx="11">
                  <c:v>2.2158799999999999E-2</c:v>
                </c:pt>
                <c:pt idx="12">
                  <c:v>1.1414199999999999E-2</c:v>
                </c:pt>
                <c:pt idx="13">
                  <c:v>6.5642399999999998E-3</c:v>
                </c:pt>
                <c:pt idx="14">
                  <c:v>1.8858899999999999E-4</c:v>
                </c:pt>
                <c:pt idx="15">
                  <c:v>1.0973300000000001E-3</c:v>
                </c:pt>
                <c:pt idx="16">
                  <c:v>1.02644E-2</c:v>
                </c:pt>
                <c:pt idx="17">
                  <c:v>8.3284199999999996E-3</c:v>
                </c:pt>
                <c:pt idx="18">
                  <c:v>4.4582600000000003E-3</c:v>
                </c:pt>
                <c:pt idx="19">
                  <c:v>5.1471099999999999E-3</c:v>
                </c:pt>
                <c:pt idx="20">
                  <c:v>1.0371200000000001E-2</c:v>
                </c:pt>
                <c:pt idx="21">
                  <c:v>3.74603E-3</c:v>
                </c:pt>
                <c:pt idx="22">
                  <c:v>4.2244499999999997E-2</c:v>
                </c:pt>
                <c:pt idx="23">
                  <c:v>4.6149999999999997E-2</c:v>
                </c:pt>
                <c:pt idx="24">
                  <c:v>3.90399E-3</c:v>
                </c:pt>
                <c:pt idx="25">
                  <c:v>2.1864000000000001E-4</c:v>
                </c:pt>
                <c:pt idx="26">
                  <c:v>8.2823299999999992E-3</c:v>
                </c:pt>
                <c:pt idx="27">
                  <c:v>1.02235E-2</c:v>
                </c:pt>
                <c:pt idx="28">
                  <c:v>4.4592099999999999E-3</c:v>
                </c:pt>
                <c:pt idx="29">
                  <c:v>3.3916100000000002E-3</c:v>
                </c:pt>
                <c:pt idx="30">
                  <c:v>5.9942700000000003E-3</c:v>
                </c:pt>
                <c:pt idx="31">
                  <c:v>4.2370000000000003E-3</c:v>
                </c:pt>
                <c:pt idx="32">
                  <c:v>3.2392600000000001E-2</c:v>
                </c:pt>
              </c:numCache>
            </c:numRef>
          </c:xVal>
          <c:yVal>
            <c:numRef>
              <c:f>Fig_2!$H$2:$H$34</c:f>
              <c:numCache>
                <c:formatCode>General</c:formatCode>
                <c:ptCount val="33"/>
                <c:pt idx="0">
                  <c:v>7.2628900000000001E-3</c:v>
                </c:pt>
                <c:pt idx="1">
                  <c:v>5.4605699999999997E-3</c:v>
                </c:pt>
                <c:pt idx="2">
                  <c:v>5.6560600000000001E-3</c:v>
                </c:pt>
                <c:pt idx="3">
                  <c:v>2.9116099999999999E-2</c:v>
                </c:pt>
                <c:pt idx="4">
                  <c:v>3.8492899999999997E-2</c:v>
                </c:pt>
                <c:pt idx="5">
                  <c:v>1.4077599999999999E-2</c:v>
                </c:pt>
                <c:pt idx="6">
                  <c:v>1.2292600000000001E-2</c:v>
                </c:pt>
                <c:pt idx="7">
                  <c:v>1.6179800000000001E-2</c:v>
                </c:pt>
                <c:pt idx="8">
                  <c:v>8.9608399999999994E-3</c:v>
                </c:pt>
                <c:pt idx="9">
                  <c:v>5.5659899999999998E-3</c:v>
                </c:pt>
                <c:pt idx="10">
                  <c:v>4.8698600000000002E-2</c:v>
                </c:pt>
                <c:pt idx="11">
                  <c:v>2.0185499999999999E-2</c:v>
                </c:pt>
                <c:pt idx="12">
                  <c:v>1.06444E-2</c:v>
                </c:pt>
                <c:pt idx="13">
                  <c:v>6.3322999999999999E-3</c:v>
                </c:pt>
                <c:pt idx="14">
                  <c:v>2.23284E-4</c:v>
                </c:pt>
                <c:pt idx="15">
                  <c:v>1.5450800000000001E-3</c:v>
                </c:pt>
                <c:pt idx="16">
                  <c:v>1.02069E-2</c:v>
                </c:pt>
                <c:pt idx="17">
                  <c:v>7.9837599999999995E-3</c:v>
                </c:pt>
                <c:pt idx="18">
                  <c:v>9.9478700000000001E-4</c:v>
                </c:pt>
                <c:pt idx="19">
                  <c:v>2.01439E-3</c:v>
                </c:pt>
                <c:pt idx="20">
                  <c:v>9.0988300000000005E-3</c:v>
                </c:pt>
                <c:pt idx="21">
                  <c:v>4.4934800000000002E-3</c:v>
                </c:pt>
                <c:pt idx="22">
                  <c:v>3.7271100000000001E-2</c:v>
                </c:pt>
                <c:pt idx="23">
                  <c:v>4.03945E-2</c:v>
                </c:pt>
                <c:pt idx="24">
                  <c:v>3.3398E-3</c:v>
                </c:pt>
                <c:pt idx="25">
                  <c:v>-1.33383E-3</c:v>
                </c:pt>
                <c:pt idx="26">
                  <c:v>7.1020600000000003E-3</c:v>
                </c:pt>
                <c:pt idx="27">
                  <c:v>9.2964699999999994E-3</c:v>
                </c:pt>
                <c:pt idx="28">
                  <c:v>3.82709E-3</c:v>
                </c:pt>
                <c:pt idx="29">
                  <c:v>2.5495100000000001E-3</c:v>
                </c:pt>
                <c:pt idx="30">
                  <c:v>5.4905800000000001E-3</c:v>
                </c:pt>
                <c:pt idx="31">
                  <c:v>3.6893799999999999E-3</c:v>
                </c:pt>
                <c:pt idx="32">
                  <c:v>3.0787100000000001E-2</c:v>
                </c:pt>
              </c:numCache>
            </c:numRef>
          </c:yVal>
          <c:smooth val="0"/>
          <c:extLst>
            <c:ext xmlns:c16="http://schemas.microsoft.com/office/drawing/2014/chart" uri="{C3380CC4-5D6E-409C-BE32-E72D297353CC}">
              <c16:uniqueId val="{00000000-FCF1-453B-AEC8-7EE254E4E597}"/>
            </c:ext>
          </c:extLst>
        </c:ser>
        <c:ser>
          <c:idx val="1"/>
          <c:order val="1"/>
          <c:tx>
            <c:strRef>
              <c:f>Fig_2!$I$1</c:f>
              <c:strCache>
                <c:ptCount val="1"/>
                <c:pt idx="0">
                  <c:v>IcVar</c:v>
                </c:pt>
              </c:strCache>
            </c:strRef>
          </c:tx>
          <c:spPr>
            <a:ln w="22225">
              <a:solidFill>
                <a:srgbClr val="FF0000"/>
              </a:solidFill>
            </a:ln>
          </c:spPr>
          <c:marker>
            <c:symbol val="none"/>
          </c:marker>
          <c:xVal>
            <c:numRef>
              <c:f>Fig_2!$G$2:$G$34</c:f>
              <c:numCache>
                <c:formatCode>General</c:formatCode>
                <c:ptCount val="33"/>
                <c:pt idx="0">
                  <c:v>7.37187E-3</c:v>
                </c:pt>
                <c:pt idx="1">
                  <c:v>5.7398299999999996E-3</c:v>
                </c:pt>
                <c:pt idx="2">
                  <c:v>6.0190699999999996E-3</c:v>
                </c:pt>
                <c:pt idx="3">
                  <c:v>3.09596E-2</c:v>
                </c:pt>
                <c:pt idx="4">
                  <c:v>4.1787299999999999E-2</c:v>
                </c:pt>
                <c:pt idx="5">
                  <c:v>1.4627899999999999E-2</c:v>
                </c:pt>
                <c:pt idx="6">
                  <c:v>1.30879E-2</c:v>
                </c:pt>
                <c:pt idx="7">
                  <c:v>1.7558799999999999E-2</c:v>
                </c:pt>
                <c:pt idx="8">
                  <c:v>9.6113899999999992E-3</c:v>
                </c:pt>
                <c:pt idx="9">
                  <c:v>5.90012E-3</c:v>
                </c:pt>
                <c:pt idx="10">
                  <c:v>5.2818700000000003E-2</c:v>
                </c:pt>
                <c:pt idx="11">
                  <c:v>2.2158799999999999E-2</c:v>
                </c:pt>
                <c:pt idx="12">
                  <c:v>1.1414199999999999E-2</c:v>
                </c:pt>
                <c:pt idx="13">
                  <c:v>6.5642399999999998E-3</c:v>
                </c:pt>
                <c:pt idx="14">
                  <c:v>1.8858899999999999E-4</c:v>
                </c:pt>
                <c:pt idx="15">
                  <c:v>1.0973300000000001E-3</c:v>
                </c:pt>
                <c:pt idx="16">
                  <c:v>1.02644E-2</c:v>
                </c:pt>
                <c:pt idx="17">
                  <c:v>8.3284199999999996E-3</c:v>
                </c:pt>
                <c:pt idx="18">
                  <c:v>4.4582600000000003E-3</c:v>
                </c:pt>
                <c:pt idx="19">
                  <c:v>5.1471099999999999E-3</c:v>
                </c:pt>
                <c:pt idx="20">
                  <c:v>1.0371200000000001E-2</c:v>
                </c:pt>
                <c:pt idx="21">
                  <c:v>3.74603E-3</c:v>
                </c:pt>
                <c:pt idx="22">
                  <c:v>4.2244499999999997E-2</c:v>
                </c:pt>
                <c:pt idx="23">
                  <c:v>4.6149999999999997E-2</c:v>
                </c:pt>
                <c:pt idx="24">
                  <c:v>3.90399E-3</c:v>
                </c:pt>
                <c:pt idx="25">
                  <c:v>2.1864000000000001E-4</c:v>
                </c:pt>
                <c:pt idx="26">
                  <c:v>8.2823299999999992E-3</c:v>
                </c:pt>
                <c:pt idx="27">
                  <c:v>1.02235E-2</c:v>
                </c:pt>
                <c:pt idx="28">
                  <c:v>4.4592099999999999E-3</c:v>
                </c:pt>
                <c:pt idx="29">
                  <c:v>3.3916100000000002E-3</c:v>
                </c:pt>
                <c:pt idx="30">
                  <c:v>5.9942700000000003E-3</c:v>
                </c:pt>
                <c:pt idx="31">
                  <c:v>4.2370000000000003E-3</c:v>
                </c:pt>
                <c:pt idx="32">
                  <c:v>3.2392600000000001E-2</c:v>
                </c:pt>
              </c:numCache>
            </c:numRef>
          </c:xVal>
          <c:yVal>
            <c:numRef>
              <c:f>Fig_2!$I$2:$I$34</c:f>
              <c:numCache>
                <c:formatCode>General</c:formatCode>
                <c:ptCount val="33"/>
                <c:pt idx="0">
                  <c:v>7.37187E-3</c:v>
                </c:pt>
                <c:pt idx="1">
                  <c:v>5.7398299999999996E-3</c:v>
                </c:pt>
                <c:pt idx="2">
                  <c:v>6.0190699999999996E-3</c:v>
                </c:pt>
                <c:pt idx="3">
                  <c:v>3.09596E-2</c:v>
                </c:pt>
                <c:pt idx="4">
                  <c:v>4.1787299999999999E-2</c:v>
                </c:pt>
                <c:pt idx="5">
                  <c:v>1.4627899999999999E-2</c:v>
                </c:pt>
                <c:pt idx="6">
                  <c:v>1.30879E-2</c:v>
                </c:pt>
                <c:pt idx="7">
                  <c:v>1.7558799999999999E-2</c:v>
                </c:pt>
                <c:pt idx="8">
                  <c:v>9.6113899999999992E-3</c:v>
                </c:pt>
                <c:pt idx="9">
                  <c:v>5.90012E-3</c:v>
                </c:pt>
                <c:pt idx="10">
                  <c:v>5.2818700000000003E-2</c:v>
                </c:pt>
                <c:pt idx="11">
                  <c:v>2.2158799999999999E-2</c:v>
                </c:pt>
                <c:pt idx="12">
                  <c:v>1.1414199999999999E-2</c:v>
                </c:pt>
                <c:pt idx="13">
                  <c:v>6.5642399999999998E-3</c:v>
                </c:pt>
                <c:pt idx="14">
                  <c:v>1.8858899999999999E-4</c:v>
                </c:pt>
                <c:pt idx="15">
                  <c:v>1.0973300000000001E-3</c:v>
                </c:pt>
                <c:pt idx="16">
                  <c:v>1.02644E-2</c:v>
                </c:pt>
                <c:pt idx="17">
                  <c:v>8.3284199999999996E-3</c:v>
                </c:pt>
                <c:pt idx="18">
                  <c:v>4.4582600000000003E-3</c:v>
                </c:pt>
                <c:pt idx="19">
                  <c:v>5.1471099999999999E-3</c:v>
                </c:pt>
                <c:pt idx="20">
                  <c:v>1.0371200000000001E-2</c:v>
                </c:pt>
                <c:pt idx="21">
                  <c:v>3.74603E-3</c:v>
                </c:pt>
                <c:pt idx="22">
                  <c:v>4.2244499999999997E-2</c:v>
                </c:pt>
                <c:pt idx="23">
                  <c:v>4.6149999999999997E-2</c:v>
                </c:pt>
                <c:pt idx="24">
                  <c:v>3.90399E-3</c:v>
                </c:pt>
                <c:pt idx="25">
                  <c:v>2.1864000000000001E-4</c:v>
                </c:pt>
                <c:pt idx="26">
                  <c:v>8.2823299999999992E-3</c:v>
                </c:pt>
                <c:pt idx="27">
                  <c:v>1.02235E-2</c:v>
                </c:pt>
                <c:pt idx="28">
                  <c:v>4.4592099999999999E-3</c:v>
                </c:pt>
                <c:pt idx="29">
                  <c:v>3.3916100000000002E-3</c:v>
                </c:pt>
                <c:pt idx="30">
                  <c:v>5.9942700000000003E-3</c:v>
                </c:pt>
                <c:pt idx="31">
                  <c:v>4.2370000000000003E-3</c:v>
                </c:pt>
                <c:pt idx="32">
                  <c:v>3.2392600000000001E-2</c:v>
                </c:pt>
              </c:numCache>
            </c:numRef>
          </c:yVal>
          <c:smooth val="0"/>
          <c:extLst>
            <c:ext xmlns:c16="http://schemas.microsoft.com/office/drawing/2014/chart" uri="{C3380CC4-5D6E-409C-BE32-E72D297353CC}">
              <c16:uniqueId val="{00000001-FCF1-453B-AEC8-7EE254E4E597}"/>
            </c:ext>
          </c:extLst>
        </c:ser>
        <c:dLbls>
          <c:showLegendKey val="0"/>
          <c:showVal val="0"/>
          <c:showCatName val="0"/>
          <c:showSerName val="0"/>
          <c:showPercent val="0"/>
          <c:showBubbleSize val="0"/>
        </c:dLbls>
        <c:axId val="75893760"/>
        <c:axId val="75912320"/>
      </c:scatterChart>
      <c:valAx>
        <c:axId val="75893760"/>
        <c:scaling>
          <c:orientation val="minMax"/>
          <c:max val="5.000000000000001E-2"/>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Variation of chained index</a:t>
                </a:r>
              </a:p>
            </c:rich>
          </c:tx>
          <c:layout>
            <c:manualLayout>
              <c:xMode val="edge"/>
              <c:yMode val="edge"/>
              <c:x val="0.71584676634521804"/>
              <c:y val="0.89719904414933205"/>
            </c:manualLayout>
          </c:layout>
          <c:overlay val="0"/>
        </c:title>
        <c:numFmt formatCode="General" sourceLinked="1"/>
        <c:majorTickMark val="none"/>
        <c:minorTickMark val="none"/>
        <c:tickLblPos val="low"/>
        <c:txPr>
          <a:bodyPr/>
          <a:lstStyle/>
          <a:p>
            <a:pPr>
              <a:defRPr sz="900">
                <a:latin typeface="Arial" panose="020B0604020202020204" pitchFamily="34" charset="0"/>
                <a:cs typeface="Arial" panose="020B0604020202020204" pitchFamily="34" charset="0"/>
              </a:defRPr>
            </a:pPr>
            <a:endParaRPr lang="is-IS"/>
          </a:p>
        </c:txPr>
        <c:crossAx val="75912320"/>
        <c:crosses val="autoZero"/>
        <c:crossBetween val="midCat"/>
      </c:valAx>
      <c:valAx>
        <c:axId val="75912320"/>
        <c:scaling>
          <c:orientation val="minMax"/>
        </c:scaling>
        <c:delete val="0"/>
        <c:axPos val="l"/>
        <c:majorGridlines>
          <c:spPr>
            <a:ln w="3175"/>
          </c:spPr>
        </c:majorGridlines>
        <c:numFmt formatCode="General" sourceLinked="1"/>
        <c:majorTickMark val="out"/>
        <c:minorTickMark val="none"/>
        <c:tickLblPos val="nextTo"/>
        <c:spPr>
          <a:ln>
            <a:noFill/>
          </a:ln>
        </c:spPr>
        <c:txPr>
          <a:bodyPr/>
          <a:lstStyle/>
          <a:p>
            <a:pPr>
              <a:defRPr sz="900">
                <a:latin typeface="Arial" panose="020B0604020202020204" pitchFamily="34" charset="0"/>
                <a:cs typeface="Arial" panose="020B0604020202020204" pitchFamily="34" charset="0"/>
              </a:defRPr>
            </a:pPr>
            <a:endParaRPr lang="is-IS"/>
          </a:p>
        </c:txPr>
        <c:crossAx val="75893760"/>
        <c:crosses val="autoZero"/>
        <c:crossBetween val="midCat"/>
      </c:valAx>
      <c:spPr>
        <a:ln w="3175"/>
      </c:spPr>
    </c:plotArea>
    <c:plotVisOnly val="1"/>
    <c:dispBlanksAs val="gap"/>
    <c:showDLblsOverMax val="0"/>
  </c:chart>
  <c:spPr>
    <a:ln w="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0" i="0" baseline="0">
                <a:effectLst/>
                <a:latin typeface="Arial" panose="020B0604020202020204" pitchFamily="34" charset="0"/>
                <a:cs typeface="Arial" panose="020B0604020202020204" pitchFamily="34" charset="0"/>
              </a:rPr>
              <a:t>Relative difference between chained and direct index </a:t>
            </a:r>
            <a:endParaRPr lang="en-US" sz="1000" b="0">
              <a:effectLst/>
              <a:latin typeface="Arial" panose="020B0604020202020204" pitchFamily="34" charset="0"/>
              <a:cs typeface="Arial" panose="020B0604020202020204" pitchFamily="34" charset="0"/>
            </a:endParaRPr>
          </a:p>
        </c:rich>
      </c:tx>
      <c:layout>
        <c:manualLayout>
          <c:xMode val="edge"/>
          <c:yMode val="edge"/>
          <c:x val="3.3569335083114597E-2"/>
          <c:y val="2.7777777777777776E-2"/>
        </c:manualLayout>
      </c:layout>
      <c:overlay val="0"/>
    </c:title>
    <c:autoTitleDeleted val="0"/>
    <c:plotArea>
      <c:layout>
        <c:manualLayout>
          <c:layoutTarget val="inner"/>
          <c:xMode val="edge"/>
          <c:yMode val="edge"/>
          <c:x val="8.7364593470759977E-2"/>
          <c:y val="0.13502098645436308"/>
          <c:w val="0.87088473959571011"/>
          <c:h val="0.65915198524200747"/>
        </c:manualLayout>
      </c:layout>
      <c:scatterChart>
        <c:scatterStyle val="lineMarker"/>
        <c:varyColors val="0"/>
        <c:ser>
          <c:idx val="0"/>
          <c:order val="0"/>
          <c:tx>
            <c:strRef>
              <c:f>Fig_3!$M$1</c:f>
              <c:strCache>
                <c:ptCount val="1"/>
                <c:pt idx="0">
                  <c:v>c1</c:v>
                </c:pt>
              </c:strCache>
            </c:strRef>
          </c:tx>
          <c:spPr>
            <a:ln w="28575">
              <a:noFill/>
            </a:ln>
          </c:spPr>
          <c:marker>
            <c:symbol val="diamond"/>
            <c:size val="5"/>
          </c:marker>
          <c:xVal>
            <c:numRef>
              <c:f>Fig_3!$L$2:$L$7</c:f>
              <c:numCache>
                <c:formatCode>General</c:formatCode>
                <c:ptCount val="6"/>
                <c:pt idx="0">
                  <c:v>3</c:v>
                </c:pt>
                <c:pt idx="1">
                  <c:v>6</c:v>
                </c:pt>
                <c:pt idx="2">
                  <c:v>12</c:v>
                </c:pt>
                <c:pt idx="3">
                  <c:v>18</c:v>
                </c:pt>
                <c:pt idx="4">
                  <c:v>24</c:v>
                </c:pt>
                <c:pt idx="5">
                  <c:v>30</c:v>
                </c:pt>
              </c:numCache>
            </c:numRef>
          </c:xVal>
          <c:yVal>
            <c:numRef>
              <c:f>Fig_3!$M$2:$M$7</c:f>
              <c:numCache>
                <c:formatCode>General</c:formatCode>
                <c:ptCount val="6"/>
                <c:pt idx="0">
                  <c:v>6.9222075215143999E-3</c:v>
                </c:pt>
                <c:pt idx="1">
                  <c:v>6.9222075215143999E-3</c:v>
                </c:pt>
                <c:pt idx="2">
                  <c:v>6.9452338831797996E-3</c:v>
                </c:pt>
                <c:pt idx="3">
                  <c:v>6.9246905588300498E-3</c:v>
                </c:pt>
                <c:pt idx="4">
                  <c:v>5.9740323523780302E-3</c:v>
                </c:pt>
                <c:pt idx="5">
                  <c:v>6.16061351832509E-3</c:v>
                </c:pt>
              </c:numCache>
            </c:numRef>
          </c:yVal>
          <c:smooth val="0"/>
          <c:extLst>
            <c:ext xmlns:c16="http://schemas.microsoft.com/office/drawing/2014/chart" uri="{C3380CC4-5D6E-409C-BE32-E72D297353CC}">
              <c16:uniqueId val="{00000000-CB35-464E-9E68-D83DB127D075}"/>
            </c:ext>
          </c:extLst>
        </c:ser>
        <c:ser>
          <c:idx val="1"/>
          <c:order val="1"/>
          <c:tx>
            <c:strRef>
              <c:f>Fig_3!$N$1</c:f>
              <c:strCache>
                <c:ptCount val="1"/>
                <c:pt idx="0">
                  <c:v>c2</c:v>
                </c:pt>
              </c:strCache>
            </c:strRef>
          </c:tx>
          <c:spPr>
            <a:ln w="28575">
              <a:noFill/>
            </a:ln>
          </c:spPr>
          <c:marker>
            <c:symbol val="square"/>
            <c:size val="5"/>
          </c:marker>
          <c:xVal>
            <c:numRef>
              <c:f>Fig_3!$L$2:$L$7</c:f>
              <c:numCache>
                <c:formatCode>General</c:formatCode>
                <c:ptCount val="6"/>
                <c:pt idx="0">
                  <c:v>3</c:v>
                </c:pt>
                <c:pt idx="1">
                  <c:v>6</c:v>
                </c:pt>
                <c:pt idx="2">
                  <c:v>12</c:v>
                </c:pt>
                <c:pt idx="3">
                  <c:v>18</c:v>
                </c:pt>
                <c:pt idx="4">
                  <c:v>24</c:v>
                </c:pt>
                <c:pt idx="5">
                  <c:v>30</c:v>
                </c:pt>
              </c:numCache>
            </c:numRef>
          </c:xVal>
          <c:yVal>
            <c:numRef>
              <c:f>Fig_3!$N$2:$N$7</c:f>
              <c:numCache>
                <c:formatCode>General</c:formatCode>
                <c:ptCount val="6"/>
                <c:pt idx="0">
                  <c:v>5.4455115227946002E-3</c:v>
                </c:pt>
                <c:pt idx="1">
                  <c:v>5.4455115227946002E-3</c:v>
                </c:pt>
                <c:pt idx="2">
                  <c:v>5.1150698173134702E-3</c:v>
                </c:pt>
                <c:pt idx="3">
                  <c:v>5.3180686858511602E-3</c:v>
                </c:pt>
              </c:numCache>
            </c:numRef>
          </c:yVal>
          <c:smooth val="0"/>
          <c:extLst>
            <c:ext xmlns:c16="http://schemas.microsoft.com/office/drawing/2014/chart" uri="{C3380CC4-5D6E-409C-BE32-E72D297353CC}">
              <c16:uniqueId val="{00000001-CB35-464E-9E68-D83DB127D075}"/>
            </c:ext>
          </c:extLst>
        </c:ser>
        <c:ser>
          <c:idx val="2"/>
          <c:order val="2"/>
          <c:tx>
            <c:strRef>
              <c:f>Fig_3!$O$1</c:f>
              <c:strCache>
                <c:ptCount val="1"/>
                <c:pt idx="0">
                  <c:v>c3</c:v>
                </c:pt>
              </c:strCache>
            </c:strRef>
          </c:tx>
          <c:spPr>
            <a:ln w="28575">
              <a:noFill/>
            </a:ln>
          </c:spPr>
          <c:marker>
            <c:symbol val="triangle"/>
            <c:size val="5"/>
          </c:marker>
          <c:xVal>
            <c:numRef>
              <c:f>Fig_3!$L$2:$L$7</c:f>
              <c:numCache>
                <c:formatCode>General</c:formatCode>
                <c:ptCount val="6"/>
                <c:pt idx="0">
                  <c:v>3</c:v>
                </c:pt>
                <c:pt idx="1">
                  <c:v>6</c:v>
                </c:pt>
                <c:pt idx="2">
                  <c:v>12</c:v>
                </c:pt>
                <c:pt idx="3">
                  <c:v>18</c:v>
                </c:pt>
                <c:pt idx="4">
                  <c:v>24</c:v>
                </c:pt>
                <c:pt idx="5">
                  <c:v>30</c:v>
                </c:pt>
              </c:numCache>
            </c:numRef>
          </c:xVal>
          <c:yVal>
            <c:numRef>
              <c:f>Fig_3!$O$2:$O$7</c:f>
              <c:numCache>
                <c:formatCode>General</c:formatCode>
                <c:ptCount val="6"/>
                <c:pt idx="0">
                  <c:v>-4.4516786365189597E-5</c:v>
                </c:pt>
                <c:pt idx="1">
                  <c:v>-5.1769921089395198E-4</c:v>
                </c:pt>
                <c:pt idx="2">
                  <c:v>-3.1306554073684502E-4</c:v>
                </c:pt>
              </c:numCache>
            </c:numRef>
          </c:yVal>
          <c:smooth val="0"/>
          <c:extLst>
            <c:ext xmlns:c16="http://schemas.microsoft.com/office/drawing/2014/chart" uri="{C3380CC4-5D6E-409C-BE32-E72D297353CC}">
              <c16:uniqueId val="{00000002-CB35-464E-9E68-D83DB127D075}"/>
            </c:ext>
          </c:extLst>
        </c:ser>
        <c:dLbls>
          <c:showLegendKey val="0"/>
          <c:showVal val="0"/>
          <c:showCatName val="0"/>
          <c:showSerName val="0"/>
          <c:showPercent val="0"/>
          <c:showBubbleSize val="0"/>
        </c:dLbls>
        <c:axId val="75946240"/>
        <c:axId val="76005760"/>
      </c:scatterChart>
      <c:valAx>
        <c:axId val="7594624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Chain lengths (months)</a:t>
                </a:r>
              </a:p>
            </c:rich>
          </c:tx>
          <c:layout>
            <c:manualLayout>
              <c:xMode val="edge"/>
              <c:yMode val="edge"/>
              <c:x val="0.7396251045183444"/>
              <c:y val="0.90101389972115087"/>
            </c:manualLayout>
          </c:layout>
          <c:overlay val="0"/>
        </c:title>
        <c:numFmt formatCode="General" sourceLinked="1"/>
        <c:majorTickMark val="none"/>
        <c:minorTickMark val="none"/>
        <c:tickLblPos val="low"/>
        <c:txPr>
          <a:bodyPr/>
          <a:lstStyle/>
          <a:p>
            <a:pPr>
              <a:defRPr sz="900">
                <a:latin typeface="Arial" panose="020B0604020202020204" pitchFamily="34" charset="0"/>
                <a:cs typeface="Arial" panose="020B0604020202020204" pitchFamily="34" charset="0"/>
              </a:defRPr>
            </a:pPr>
            <a:endParaRPr lang="is-IS"/>
          </a:p>
        </c:txPr>
        <c:crossAx val="76005760"/>
        <c:crosses val="autoZero"/>
        <c:crossBetween val="midCat"/>
      </c:valAx>
      <c:valAx>
        <c:axId val="76005760"/>
        <c:scaling>
          <c:orientation val="minMax"/>
        </c:scaling>
        <c:delete val="0"/>
        <c:axPos val="l"/>
        <c:majorGridlines>
          <c:spPr>
            <a:ln w="3175"/>
          </c:spPr>
        </c:majorGridlines>
        <c:numFmt formatCode="General" sourceLinked="1"/>
        <c:majorTickMark val="none"/>
        <c:minorTickMark val="none"/>
        <c:tickLblPos val="nextTo"/>
        <c:spPr>
          <a:ln>
            <a:noFill/>
          </a:ln>
        </c:spPr>
        <c:txPr>
          <a:bodyPr/>
          <a:lstStyle/>
          <a:p>
            <a:pPr>
              <a:defRPr sz="900" b="0">
                <a:latin typeface="Arial" panose="020B0604020202020204" pitchFamily="34" charset="0"/>
                <a:cs typeface="Arial" panose="020B0604020202020204" pitchFamily="34" charset="0"/>
              </a:defRPr>
            </a:pPr>
            <a:endParaRPr lang="is-IS"/>
          </a:p>
        </c:txPr>
        <c:crossAx val="75946240"/>
        <c:crosses val="autoZero"/>
        <c:crossBetween val="midCat"/>
      </c:valAx>
    </c:plotArea>
    <c:legend>
      <c:legendPos val="b"/>
      <c:layout>
        <c:manualLayout>
          <c:xMode val="edge"/>
          <c:yMode val="edge"/>
          <c:x val="0.37523422556555003"/>
          <c:y val="0.89230974689900533"/>
          <c:w val="0.20938808455394689"/>
          <c:h val="8.4008889132760847E-2"/>
        </c:manualLayout>
      </c:layout>
      <c:overlay val="0"/>
      <c:txPr>
        <a:bodyPr/>
        <a:lstStyle/>
        <a:p>
          <a:pPr>
            <a:defRPr>
              <a:latin typeface="Arial" panose="020B0604020202020204" pitchFamily="34" charset="0"/>
              <a:cs typeface="Arial" panose="020B0604020202020204" pitchFamily="34" charset="0"/>
            </a:defRPr>
          </a:pPr>
          <a:endParaRPr lang="is-I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0269-0D99-4126-B0DA-0DC67C9D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3057</Words>
  <Characters>17431</Characters>
  <Application>Microsoft Office Word</Application>
  <DocSecurity>0</DocSecurity>
  <Lines>145</Lines>
  <Paragraphs>40</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Margrét Vala Gylfadóttir</cp:lastModifiedBy>
  <cp:revision>5</cp:revision>
  <cp:lastPrinted>2019-05-13T12:01:00Z</cp:lastPrinted>
  <dcterms:created xsi:type="dcterms:W3CDTF">2019-07-10T12:10:00Z</dcterms:created>
  <dcterms:modified xsi:type="dcterms:W3CDTF">2019-07-10T13:06:00Z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