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09CC7" w14:textId="77777777" w:rsidR="006F6053" w:rsidRPr="00B92006" w:rsidRDefault="006F6053" w:rsidP="006F6053">
      <w:pPr>
        <w:spacing w:before="480" w:after="480" w:line="360" w:lineRule="auto"/>
        <w:rPr>
          <w:rFonts w:ascii="Arial" w:hAnsi="Arial" w:cs="Arial"/>
          <w:b/>
          <w:sz w:val="48"/>
          <w:szCs w:val="48"/>
          <w:lang w:val="en-GB"/>
        </w:rPr>
      </w:pPr>
      <w:r w:rsidRPr="00B92006">
        <w:rPr>
          <w:rFonts w:ascii="Arial" w:hAnsi="Arial" w:cs="Arial"/>
          <w:b/>
          <w:sz w:val="48"/>
          <w:szCs w:val="48"/>
          <w:lang w:val="en-GB"/>
        </w:rPr>
        <w:t>Constructing families using administrative registers</w:t>
      </w:r>
    </w:p>
    <w:p w14:paraId="04EB4062" w14:textId="77777777" w:rsidR="006F6053" w:rsidRPr="00B92006" w:rsidRDefault="006F6053" w:rsidP="006F60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92006">
        <w:rPr>
          <w:rFonts w:ascii="Arial" w:hAnsi="Arial" w:cs="Arial"/>
          <w:sz w:val="24"/>
          <w:szCs w:val="24"/>
          <w:lang w:val="en-GB"/>
        </w:rPr>
        <w:t xml:space="preserve">Helle Visk, Statistics Estonia, </w:t>
      </w:r>
      <w:hyperlink r:id="rId8" w:history="1">
        <w:r w:rsidRPr="00B92006">
          <w:rPr>
            <w:rStyle w:val="Hyperlink"/>
            <w:rFonts w:ascii="Arial" w:hAnsi="Arial" w:cs="Arial"/>
            <w:sz w:val="24"/>
            <w:szCs w:val="24"/>
            <w:lang w:val="en-GB"/>
          </w:rPr>
          <w:t>helle.visk@stat.ee</w:t>
        </w:r>
      </w:hyperlink>
      <w:r w:rsidRPr="00B92006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011AB05" w14:textId="77777777" w:rsidR="006F6053" w:rsidRPr="00B92006" w:rsidRDefault="006F6053" w:rsidP="006F60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92006">
        <w:rPr>
          <w:rFonts w:ascii="Arial" w:hAnsi="Arial" w:cs="Arial"/>
          <w:sz w:val="24"/>
          <w:szCs w:val="24"/>
          <w:lang w:val="en-GB"/>
        </w:rPr>
        <w:t xml:space="preserve">Kristi </w:t>
      </w:r>
      <w:proofErr w:type="spellStart"/>
      <w:r w:rsidRPr="00B92006">
        <w:rPr>
          <w:rFonts w:ascii="Arial" w:hAnsi="Arial" w:cs="Arial"/>
          <w:sz w:val="24"/>
          <w:szCs w:val="24"/>
          <w:lang w:val="en-GB"/>
        </w:rPr>
        <w:t>Lehto</w:t>
      </w:r>
      <w:proofErr w:type="spellEnd"/>
      <w:r w:rsidRPr="00B92006">
        <w:rPr>
          <w:rFonts w:ascii="Arial" w:hAnsi="Arial" w:cs="Arial"/>
          <w:sz w:val="24"/>
          <w:szCs w:val="24"/>
          <w:lang w:val="en-GB"/>
        </w:rPr>
        <w:t xml:space="preserve">, Statistics Estonia, </w:t>
      </w:r>
      <w:hyperlink r:id="rId9" w:history="1">
        <w:r w:rsidRPr="00B92006">
          <w:rPr>
            <w:rStyle w:val="Hyperlink"/>
            <w:rFonts w:ascii="Arial" w:hAnsi="Arial" w:cs="Arial"/>
            <w:sz w:val="24"/>
            <w:szCs w:val="24"/>
            <w:lang w:val="en-GB"/>
          </w:rPr>
          <w:t>kristi.lehto@stat.ee</w:t>
        </w:r>
      </w:hyperlink>
      <w:r w:rsidRPr="00B92006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0DABA3A" w14:textId="77777777" w:rsidR="006B1F86" w:rsidRPr="00B92006" w:rsidRDefault="006B1F86" w:rsidP="006B1F8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722733FC" w14:textId="77777777" w:rsidR="000D705A" w:rsidRPr="00B92006" w:rsidRDefault="000D705A" w:rsidP="006B1F8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92006">
        <w:rPr>
          <w:rFonts w:ascii="Arial" w:hAnsi="Arial" w:cs="Arial"/>
          <w:b/>
          <w:sz w:val="20"/>
          <w:szCs w:val="20"/>
          <w:lang w:val="en-GB"/>
        </w:rPr>
        <w:t>Abstract</w:t>
      </w:r>
    </w:p>
    <w:p w14:paraId="6502407B" w14:textId="3C6E7844" w:rsidR="006F6053" w:rsidRPr="00B92006" w:rsidRDefault="006F6053" w:rsidP="006F6053">
      <w:pPr>
        <w:spacing w:after="12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B92006">
        <w:rPr>
          <w:rFonts w:ascii="Arial" w:hAnsi="Arial" w:cs="Arial"/>
          <w:i/>
          <w:sz w:val="20"/>
          <w:szCs w:val="20"/>
          <w:lang w:val="en-GB"/>
        </w:rPr>
        <w:t>In the next census round in 2020</w:t>
      </w:r>
      <w:r w:rsidR="00340196" w:rsidRPr="00B92006">
        <w:rPr>
          <w:rFonts w:ascii="Arial" w:hAnsi="Arial" w:cs="Arial"/>
          <w:i/>
          <w:sz w:val="20"/>
          <w:szCs w:val="20"/>
          <w:lang w:val="en-GB"/>
        </w:rPr>
        <w:t>–</w:t>
      </w:r>
      <w:r w:rsidRPr="00B92006">
        <w:rPr>
          <w:rFonts w:ascii="Arial" w:hAnsi="Arial" w:cs="Arial"/>
          <w:i/>
          <w:sz w:val="20"/>
          <w:szCs w:val="20"/>
          <w:lang w:val="en-GB"/>
        </w:rPr>
        <w:t xml:space="preserve">21, Estonia will </w:t>
      </w:r>
      <w:r w:rsidR="00B92006" w:rsidRPr="00B92006">
        <w:rPr>
          <w:rFonts w:ascii="Arial" w:hAnsi="Arial" w:cs="Arial"/>
          <w:i/>
          <w:sz w:val="20"/>
          <w:szCs w:val="20"/>
          <w:lang w:val="en-GB"/>
        </w:rPr>
        <w:t>conduct</w:t>
      </w:r>
      <w:r w:rsidRPr="00B92006">
        <w:rPr>
          <w:rFonts w:ascii="Arial" w:hAnsi="Arial" w:cs="Arial"/>
          <w:i/>
          <w:sz w:val="20"/>
          <w:szCs w:val="20"/>
          <w:lang w:val="en-GB"/>
        </w:rPr>
        <w:t xml:space="preserve"> its first register</w:t>
      </w:r>
      <w:r w:rsidR="00AB5192" w:rsidRPr="00B92006">
        <w:rPr>
          <w:rFonts w:ascii="Arial" w:hAnsi="Arial" w:cs="Arial"/>
          <w:i/>
          <w:sz w:val="20"/>
          <w:szCs w:val="20"/>
          <w:lang w:val="en-GB"/>
        </w:rPr>
        <w:t>-</w:t>
      </w:r>
      <w:r w:rsidRPr="00B92006">
        <w:rPr>
          <w:rFonts w:ascii="Arial" w:hAnsi="Arial" w:cs="Arial"/>
          <w:i/>
          <w:sz w:val="20"/>
          <w:szCs w:val="20"/>
          <w:lang w:val="en-GB"/>
        </w:rPr>
        <w:t xml:space="preserve">based census. In </w:t>
      </w:r>
      <w:r w:rsidR="00B92006" w:rsidRPr="00B92006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Pr="00B92006">
        <w:rPr>
          <w:rFonts w:ascii="Arial" w:hAnsi="Arial" w:cs="Arial"/>
          <w:i/>
          <w:sz w:val="20"/>
          <w:szCs w:val="20"/>
          <w:lang w:val="en-GB"/>
        </w:rPr>
        <w:t>register</w:t>
      </w:r>
      <w:r w:rsidR="00AB5192" w:rsidRPr="00B92006">
        <w:rPr>
          <w:rFonts w:ascii="Arial" w:hAnsi="Arial" w:cs="Arial"/>
          <w:i/>
          <w:sz w:val="20"/>
          <w:szCs w:val="20"/>
          <w:lang w:val="en-GB"/>
        </w:rPr>
        <w:t>-</w:t>
      </w:r>
      <w:r w:rsidRPr="00B92006">
        <w:rPr>
          <w:rFonts w:ascii="Arial" w:hAnsi="Arial" w:cs="Arial"/>
          <w:i/>
          <w:sz w:val="20"/>
          <w:szCs w:val="20"/>
          <w:lang w:val="en-GB"/>
        </w:rPr>
        <w:t xml:space="preserve">based setting, households are formed of people who share </w:t>
      </w:r>
      <w:r w:rsidR="00B92006" w:rsidRPr="00B92006">
        <w:rPr>
          <w:rFonts w:ascii="Arial" w:hAnsi="Arial" w:cs="Arial"/>
          <w:i/>
          <w:sz w:val="20"/>
          <w:szCs w:val="20"/>
          <w:lang w:val="en-GB"/>
        </w:rPr>
        <w:t xml:space="preserve">a </w:t>
      </w:r>
      <w:r w:rsidRPr="00B92006">
        <w:rPr>
          <w:rFonts w:ascii="Arial" w:hAnsi="Arial" w:cs="Arial"/>
          <w:i/>
          <w:sz w:val="20"/>
          <w:szCs w:val="20"/>
          <w:lang w:val="en-GB"/>
        </w:rPr>
        <w:t xml:space="preserve">place of residence. </w:t>
      </w:r>
      <w:r w:rsidR="007758C1" w:rsidRPr="00B92006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Pr="00B92006">
        <w:rPr>
          <w:rFonts w:ascii="Arial" w:hAnsi="Arial" w:cs="Arial"/>
          <w:i/>
          <w:sz w:val="20"/>
          <w:szCs w:val="20"/>
          <w:lang w:val="en-GB"/>
        </w:rPr>
        <w:t>Estonian Population Register</w:t>
      </w:r>
      <w:r w:rsidR="007758C1" w:rsidRPr="00B92006">
        <w:rPr>
          <w:rFonts w:ascii="Arial" w:hAnsi="Arial" w:cs="Arial"/>
          <w:i/>
          <w:sz w:val="20"/>
          <w:szCs w:val="20"/>
          <w:lang w:val="en-GB"/>
        </w:rPr>
        <w:t xml:space="preserve"> is lacking correct data on the residence of</w:t>
      </w:r>
      <w:r w:rsidRPr="00B92006">
        <w:rPr>
          <w:rFonts w:ascii="Arial" w:hAnsi="Arial" w:cs="Arial"/>
          <w:i/>
          <w:sz w:val="20"/>
          <w:szCs w:val="20"/>
          <w:lang w:val="en-GB"/>
        </w:rPr>
        <w:t xml:space="preserve"> about 20% of people. The pilot census in 2016 revealed that relying on this data produces heavily biased statistics of households and families, e.g. </w:t>
      </w:r>
      <w:r w:rsidR="006A2653" w:rsidRPr="00B92006">
        <w:rPr>
          <w:rFonts w:ascii="Arial" w:hAnsi="Arial" w:cs="Arial"/>
          <w:i/>
          <w:sz w:val="20"/>
          <w:szCs w:val="20"/>
          <w:lang w:val="en-GB"/>
        </w:rPr>
        <w:t>share</w:t>
      </w:r>
      <w:r w:rsidRPr="00B92006">
        <w:rPr>
          <w:rFonts w:ascii="Arial" w:hAnsi="Arial" w:cs="Arial"/>
          <w:i/>
          <w:sz w:val="20"/>
          <w:szCs w:val="20"/>
          <w:lang w:val="en-GB"/>
        </w:rPr>
        <w:t xml:space="preserve"> of lone parent</w:t>
      </w:r>
      <w:r w:rsidR="009715DB" w:rsidRPr="00B92006">
        <w:rPr>
          <w:rFonts w:ascii="Arial" w:hAnsi="Arial" w:cs="Arial"/>
          <w:i/>
          <w:sz w:val="20"/>
          <w:szCs w:val="20"/>
          <w:lang w:val="en-GB"/>
        </w:rPr>
        <w:t xml:space="preserve"> families</w:t>
      </w:r>
      <w:r w:rsidRPr="00B9200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9715DB" w:rsidRPr="00B92006">
        <w:rPr>
          <w:rFonts w:ascii="Arial" w:hAnsi="Arial" w:cs="Arial"/>
          <w:i/>
          <w:sz w:val="20"/>
          <w:szCs w:val="20"/>
          <w:lang w:val="en-GB"/>
        </w:rPr>
        <w:t xml:space="preserve">was 41% in </w:t>
      </w:r>
      <w:r w:rsidR="00B92006" w:rsidRPr="00B92006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="009715DB" w:rsidRPr="00B92006">
        <w:rPr>
          <w:rFonts w:ascii="Arial" w:hAnsi="Arial" w:cs="Arial"/>
          <w:i/>
          <w:sz w:val="20"/>
          <w:szCs w:val="20"/>
          <w:lang w:val="en-GB"/>
        </w:rPr>
        <w:t>pilot census, but only 24%</w:t>
      </w:r>
      <w:r w:rsidRPr="00B9200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9715DB" w:rsidRPr="00B92006">
        <w:rPr>
          <w:rFonts w:ascii="Arial" w:hAnsi="Arial" w:cs="Arial"/>
          <w:i/>
          <w:sz w:val="20"/>
          <w:szCs w:val="20"/>
          <w:lang w:val="en-GB"/>
        </w:rPr>
        <w:t>in</w:t>
      </w:r>
      <w:r w:rsidRPr="00B92006">
        <w:rPr>
          <w:rFonts w:ascii="Arial" w:hAnsi="Arial" w:cs="Arial"/>
          <w:i/>
          <w:sz w:val="20"/>
          <w:szCs w:val="20"/>
          <w:lang w:val="en-GB"/>
        </w:rPr>
        <w:t xml:space="preserve"> 2011 census. This overestimation results from family members </w:t>
      </w:r>
      <w:r w:rsidRPr="00EA1649">
        <w:rPr>
          <w:rFonts w:ascii="Arial" w:hAnsi="Arial" w:cs="Arial"/>
          <w:i/>
          <w:sz w:val="20"/>
          <w:szCs w:val="20"/>
          <w:lang w:val="en-GB"/>
        </w:rPr>
        <w:t>register</w:t>
      </w:r>
      <w:r w:rsidR="00B92006" w:rsidRPr="00EA1649">
        <w:rPr>
          <w:rFonts w:ascii="Arial" w:hAnsi="Arial" w:cs="Arial"/>
          <w:i/>
          <w:sz w:val="20"/>
          <w:szCs w:val="20"/>
          <w:lang w:val="en-GB"/>
        </w:rPr>
        <w:t>ed</w:t>
      </w:r>
      <w:r w:rsidRPr="00B92006">
        <w:rPr>
          <w:rFonts w:ascii="Arial" w:hAnsi="Arial" w:cs="Arial"/>
          <w:i/>
          <w:sz w:val="20"/>
          <w:szCs w:val="20"/>
          <w:lang w:val="en-GB"/>
        </w:rPr>
        <w:t xml:space="preserve"> in different dwellings.</w:t>
      </w:r>
      <w:r w:rsidR="009715DB" w:rsidRPr="00B92006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14:paraId="2270AB4B" w14:textId="20444406" w:rsidR="006F6053" w:rsidRPr="00B92006" w:rsidRDefault="006F6053" w:rsidP="006F6053">
      <w:pPr>
        <w:spacing w:after="12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B92006">
        <w:rPr>
          <w:rFonts w:ascii="Arial" w:hAnsi="Arial" w:cs="Arial"/>
          <w:i/>
          <w:sz w:val="20"/>
          <w:szCs w:val="20"/>
          <w:lang w:val="en-GB"/>
        </w:rPr>
        <w:t xml:space="preserve">The key problem in </w:t>
      </w:r>
      <w:r w:rsidR="00870D92" w:rsidRPr="00B92006">
        <w:rPr>
          <w:rFonts w:ascii="Arial" w:hAnsi="Arial" w:cs="Arial"/>
          <w:i/>
          <w:sz w:val="20"/>
          <w:szCs w:val="20"/>
          <w:lang w:val="en-GB"/>
        </w:rPr>
        <w:t>reconstructing</w:t>
      </w:r>
      <w:r w:rsidRPr="00B92006">
        <w:rPr>
          <w:rFonts w:ascii="Arial" w:hAnsi="Arial" w:cs="Arial"/>
          <w:i/>
          <w:sz w:val="20"/>
          <w:szCs w:val="20"/>
          <w:lang w:val="en-GB"/>
        </w:rPr>
        <w:t xml:space="preserve"> the families </w:t>
      </w:r>
      <w:r w:rsidR="00870D92" w:rsidRPr="00B92006">
        <w:rPr>
          <w:rFonts w:ascii="Arial" w:hAnsi="Arial" w:cs="Arial"/>
          <w:i/>
          <w:sz w:val="20"/>
          <w:szCs w:val="20"/>
          <w:lang w:val="en-GB"/>
        </w:rPr>
        <w:t xml:space="preserve">from the data </w:t>
      </w:r>
      <w:r w:rsidRPr="00B92006">
        <w:rPr>
          <w:rFonts w:ascii="Arial" w:hAnsi="Arial" w:cs="Arial"/>
          <w:i/>
          <w:sz w:val="20"/>
          <w:szCs w:val="20"/>
          <w:lang w:val="en-GB"/>
        </w:rPr>
        <w:t xml:space="preserve">is </w:t>
      </w:r>
      <w:r w:rsidR="00B92006" w:rsidRPr="00B92006">
        <w:rPr>
          <w:rFonts w:ascii="Arial" w:hAnsi="Arial" w:cs="Arial"/>
          <w:i/>
          <w:sz w:val="20"/>
          <w:szCs w:val="20"/>
          <w:lang w:val="en-GB"/>
        </w:rPr>
        <w:t xml:space="preserve">to </w:t>
      </w:r>
      <w:r w:rsidRPr="00B92006">
        <w:rPr>
          <w:rFonts w:ascii="Arial" w:hAnsi="Arial" w:cs="Arial"/>
          <w:i/>
          <w:sz w:val="20"/>
          <w:szCs w:val="20"/>
          <w:lang w:val="en-GB"/>
        </w:rPr>
        <w:t xml:space="preserve">detect partners </w:t>
      </w:r>
      <w:r w:rsidR="00B92006" w:rsidRPr="00B92006">
        <w:rPr>
          <w:rFonts w:ascii="Arial" w:hAnsi="Arial" w:cs="Arial"/>
          <w:i/>
          <w:sz w:val="20"/>
          <w:szCs w:val="20"/>
          <w:lang w:val="en-GB"/>
        </w:rPr>
        <w:t>if</w:t>
      </w:r>
      <w:r w:rsidRPr="00B92006">
        <w:rPr>
          <w:rFonts w:ascii="Arial" w:hAnsi="Arial" w:cs="Arial"/>
          <w:i/>
          <w:sz w:val="20"/>
          <w:szCs w:val="20"/>
          <w:lang w:val="en-GB"/>
        </w:rPr>
        <w:t xml:space="preserve"> their registered home addresses do not coincide. To solve this problem, we collected additional information on ‘signs of partnership’ (SOPs): marriage, housing loans, mutual children, co</w:t>
      </w:r>
      <w:r w:rsidR="00625582" w:rsidRPr="00B92006">
        <w:rPr>
          <w:rFonts w:ascii="Arial" w:hAnsi="Arial" w:cs="Arial"/>
          <w:i/>
          <w:sz w:val="20"/>
          <w:szCs w:val="20"/>
          <w:lang w:val="en-GB"/>
        </w:rPr>
        <w:t>-</w:t>
      </w:r>
      <w:r w:rsidRPr="00B92006">
        <w:rPr>
          <w:rFonts w:ascii="Arial" w:hAnsi="Arial" w:cs="Arial"/>
          <w:i/>
          <w:sz w:val="20"/>
          <w:szCs w:val="20"/>
          <w:lang w:val="en-GB"/>
        </w:rPr>
        <w:t xml:space="preserve">owning property and other administrative data that </w:t>
      </w:r>
      <w:r w:rsidR="0016033D">
        <w:rPr>
          <w:rFonts w:ascii="Arial" w:hAnsi="Arial" w:cs="Arial"/>
          <w:i/>
          <w:sz w:val="20"/>
          <w:szCs w:val="20"/>
          <w:lang w:val="en-GB"/>
        </w:rPr>
        <w:t>connects</w:t>
      </w:r>
      <w:r w:rsidRPr="00B92006">
        <w:rPr>
          <w:rFonts w:ascii="Arial" w:hAnsi="Arial" w:cs="Arial"/>
          <w:i/>
          <w:sz w:val="20"/>
          <w:szCs w:val="20"/>
          <w:lang w:val="en-GB"/>
        </w:rPr>
        <w:t xml:space="preserve"> two persons and </w:t>
      </w:r>
      <w:r w:rsidR="00133B52" w:rsidRPr="00B92006">
        <w:rPr>
          <w:rFonts w:ascii="Arial" w:hAnsi="Arial" w:cs="Arial"/>
          <w:i/>
          <w:sz w:val="20"/>
          <w:szCs w:val="20"/>
          <w:lang w:val="en-GB"/>
        </w:rPr>
        <w:t>indicates potential</w:t>
      </w:r>
      <w:r w:rsidRPr="00B92006">
        <w:rPr>
          <w:rFonts w:ascii="Arial" w:hAnsi="Arial" w:cs="Arial"/>
          <w:i/>
          <w:sz w:val="20"/>
          <w:szCs w:val="20"/>
          <w:lang w:val="en-GB"/>
        </w:rPr>
        <w:t xml:space="preserve"> partnership. Data on 1</w:t>
      </w:r>
      <w:r w:rsidR="007F5CD6" w:rsidRPr="00B92006">
        <w:rPr>
          <w:rFonts w:ascii="Arial" w:hAnsi="Arial" w:cs="Arial"/>
          <w:i/>
          <w:sz w:val="20"/>
          <w:szCs w:val="20"/>
          <w:lang w:val="en-GB"/>
        </w:rPr>
        <w:t>7</w:t>
      </w:r>
      <w:r w:rsidRPr="00B92006">
        <w:rPr>
          <w:rFonts w:ascii="Arial" w:hAnsi="Arial" w:cs="Arial"/>
          <w:i/>
          <w:sz w:val="20"/>
          <w:szCs w:val="20"/>
          <w:lang w:val="en-GB"/>
        </w:rPr>
        <w:t xml:space="preserve"> SOPs from </w:t>
      </w:r>
      <w:r w:rsidR="007F5CD6" w:rsidRPr="00B92006">
        <w:rPr>
          <w:rFonts w:ascii="Arial" w:hAnsi="Arial" w:cs="Arial"/>
          <w:i/>
          <w:sz w:val="20"/>
          <w:szCs w:val="20"/>
          <w:lang w:val="en-GB"/>
        </w:rPr>
        <w:t>9</w:t>
      </w:r>
      <w:r w:rsidRPr="00B92006">
        <w:rPr>
          <w:rFonts w:ascii="Arial" w:hAnsi="Arial" w:cs="Arial"/>
          <w:i/>
          <w:sz w:val="20"/>
          <w:szCs w:val="20"/>
          <w:lang w:val="en-GB"/>
        </w:rPr>
        <w:t xml:space="preserve"> registers was used to predict partnership status. </w:t>
      </w:r>
      <w:r w:rsidR="0016033D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Pr="00B92006">
        <w:rPr>
          <w:rFonts w:ascii="Arial" w:hAnsi="Arial" w:cs="Arial"/>
          <w:i/>
          <w:sz w:val="20"/>
          <w:szCs w:val="20"/>
          <w:lang w:val="en-GB"/>
        </w:rPr>
        <w:t>Estonian Social Survey and Estonian Labo</w:t>
      </w:r>
      <w:r w:rsidR="00252BD9" w:rsidRPr="00B92006">
        <w:rPr>
          <w:rFonts w:ascii="Arial" w:hAnsi="Arial" w:cs="Arial"/>
          <w:i/>
          <w:sz w:val="20"/>
          <w:szCs w:val="20"/>
          <w:lang w:val="en-GB"/>
        </w:rPr>
        <w:t>u</w:t>
      </w:r>
      <w:r w:rsidRPr="00B92006">
        <w:rPr>
          <w:rFonts w:ascii="Arial" w:hAnsi="Arial" w:cs="Arial"/>
          <w:i/>
          <w:sz w:val="20"/>
          <w:szCs w:val="20"/>
          <w:lang w:val="en-GB"/>
        </w:rPr>
        <w:t xml:space="preserve">r Force Survey provided us data on actual partnership status. </w:t>
      </w:r>
    </w:p>
    <w:p w14:paraId="2EC69B0A" w14:textId="736F4638" w:rsidR="001A21A2" w:rsidRPr="00B92006" w:rsidRDefault="006A2653" w:rsidP="006F6053">
      <w:pPr>
        <w:spacing w:after="12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B92006">
        <w:rPr>
          <w:rFonts w:ascii="Arial" w:hAnsi="Arial" w:cs="Arial"/>
          <w:i/>
          <w:sz w:val="20"/>
          <w:szCs w:val="20"/>
          <w:lang w:val="en-GB"/>
        </w:rPr>
        <w:t xml:space="preserve">A model based on logistic regression and stable marriage matching on 2018 SOP data was used to predict partnership. Predicted </w:t>
      </w:r>
      <w:r w:rsidR="00CA08BB" w:rsidRPr="00B92006">
        <w:rPr>
          <w:rFonts w:ascii="Arial" w:hAnsi="Arial" w:cs="Arial"/>
          <w:i/>
          <w:sz w:val="20"/>
          <w:szCs w:val="20"/>
          <w:lang w:val="en-GB"/>
        </w:rPr>
        <w:t xml:space="preserve">partnership </w:t>
      </w:r>
      <w:r w:rsidR="00477282" w:rsidRPr="00B92006">
        <w:rPr>
          <w:rFonts w:ascii="Arial" w:hAnsi="Arial" w:cs="Arial"/>
          <w:i/>
          <w:sz w:val="20"/>
          <w:szCs w:val="20"/>
          <w:lang w:val="en-GB"/>
        </w:rPr>
        <w:t xml:space="preserve">was </w:t>
      </w:r>
      <w:r w:rsidRPr="00B92006">
        <w:rPr>
          <w:rFonts w:ascii="Arial" w:hAnsi="Arial" w:cs="Arial"/>
          <w:i/>
          <w:sz w:val="20"/>
          <w:szCs w:val="20"/>
          <w:lang w:val="en-GB"/>
        </w:rPr>
        <w:t xml:space="preserve">used as an input </w:t>
      </w:r>
      <w:r w:rsidR="0016033D">
        <w:rPr>
          <w:rFonts w:ascii="Arial" w:hAnsi="Arial" w:cs="Arial"/>
          <w:i/>
          <w:sz w:val="20"/>
          <w:szCs w:val="20"/>
          <w:lang w:val="en-GB"/>
        </w:rPr>
        <w:t>to</w:t>
      </w:r>
      <w:r w:rsidRPr="00B92006">
        <w:rPr>
          <w:rFonts w:ascii="Arial" w:hAnsi="Arial" w:cs="Arial"/>
          <w:i/>
          <w:sz w:val="20"/>
          <w:szCs w:val="20"/>
          <w:lang w:val="en-GB"/>
        </w:rPr>
        <w:t xml:space="preserve"> construct register</w:t>
      </w:r>
      <w:r w:rsidR="00625582" w:rsidRPr="00B92006">
        <w:rPr>
          <w:rFonts w:ascii="Arial" w:hAnsi="Arial" w:cs="Arial"/>
          <w:i/>
          <w:sz w:val="20"/>
          <w:szCs w:val="20"/>
          <w:lang w:val="en-GB"/>
        </w:rPr>
        <w:t>-</w:t>
      </w:r>
      <w:r w:rsidRPr="00B92006">
        <w:rPr>
          <w:rFonts w:ascii="Arial" w:hAnsi="Arial" w:cs="Arial"/>
          <w:i/>
          <w:sz w:val="20"/>
          <w:szCs w:val="20"/>
          <w:lang w:val="en-GB"/>
        </w:rPr>
        <w:t xml:space="preserve">based nuclear families of Comparative Survey of Household and Place of Residence respondents. The </w:t>
      </w:r>
      <w:r w:rsidRPr="005D1315">
        <w:rPr>
          <w:rFonts w:ascii="Arial" w:hAnsi="Arial" w:cs="Arial"/>
          <w:i/>
          <w:sz w:val="20"/>
          <w:szCs w:val="20"/>
          <w:lang w:val="en-GB"/>
        </w:rPr>
        <w:t>distributions</w:t>
      </w:r>
      <w:r w:rsidRPr="00B92006">
        <w:rPr>
          <w:rFonts w:ascii="Arial" w:hAnsi="Arial" w:cs="Arial"/>
          <w:i/>
          <w:sz w:val="20"/>
          <w:szCs w:val="20"/>
          <w:lang w:val="en-GB"/>
        </w:rPr>
        <w:t xml:space="preserve"> of family characteristics improved substantially. </w:t>
      </w:r>
      <w:r w:rsidR="001F79D1" w:rsidRPr="00B92006">
        <w:rPr>
          <w:rFonts w:ascii="Arial" w:hAnsi="Arial" w:cs="Arial"/>
          <w:i/>
          <w:sz w:val="20"/>
          <w:szCs w:val="20"/>
          <w:lang w:val="en-GB"/>
        </w:rPr>
        <w:t xml:space="preserve">Share of lone parents in the sample was 22% </w:t>
      </w:r>
      <w:r w:rsidR="0016033D">
        <w:rPr>
          <w:rFonts w:ascii="Arial" w:hAnsi="Arial" w:cs="Arial"/>
          <w:i/>
          <w:sz w:val="20"/>
          <w:szCs w:val="20"/>
          <w:lang w:val="en-GB"/>
        </w:rPr>
        <w:t>according to</w:t>
      </w:r>
      <w:r w:rsidR="001F79D1" w:rsidRPr="00B92006">
        <w:rPr>
          <w:rFonts w:ascii="Arial" w:hAnsi="Arial" w:cs="Arial"/>
          <w:i/>
          <w:sz w:val="20"/>
          <w:szCs w:val="20"/>
          <w:lang w:val="en-GB"/>
        </w:rPr>
        <w:t xml:space="preserve"> self</w:t>
      </w:r>
      <w:r w:rsidR="00625582" w:rsidRPr="00B92006">
        <w:rPr>
          <w:rFonts w:ascii="Arial" w:hAnsi="Arial" w:cs="Arial"/>
          <w:i/>
          <w:sz w:val="20"/>
          <w:szCs w:val="20"/>
          <w:lang w:val="en-GB"/>
        </w:rPr>
        <w:t>-</w:t>
      </w:r>
      <w:r w:rsidR="001F79D1" w:rsidRPr="00B92006">
        <w:rPr>
          <w:rFonts w:ascii="Arial" w:hAnsi="Arial" w:cs="Arial"/>
          <w:i/>
          <w:sz w:val="20"/>
          <w:szCs w:val="20"/>
          <w:lang w:val="en-GB"/>
        </w:rPr>
        <w:t>reported data and 24% by register data.</w:t>
      </w:r>
      <w:r w:rsidR="001A21A2" w:rsidRPr="00B9200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B866BC" w:rsidRPr="00B92006">
        <w:rPr>
          <w:rFonts w:ascii="Arial" w:hAnsi="Arial" w:cs="Arial"/>
          <w:i/>
          <w:sz w:val="20"/>
          <w:szCs w:val="20"/>
          <w:lang w:val="en-GB"/>
        </w:rPr>
        <w:t xml:space="preserve">In </w:t>
      </w:r>
      <w:r w:rsidR="0016033D">
        <w:rPr>
          <w:rFonts w:ascii="Arial" w:hAnsi="Arial" w:cs="Arial"/>
          <w:i/>
          <w:sz w:val="20"/>
          <w:szCs w:val="20"/>
          <w:lang w:val="en-GB"/>
        </w:rPr>
        <w:t>greater</w:t>
      </w:r>
      <w:r w:rsidR="00B866BC" w:rsidRPr="00B92006">
        <w:rPr>
          <w:rFonts w:ascii="Arial" w:hAnsi="Arial" w:cs="Arial"/>
          <w:i/>
          <w:sz w:val="20"/>
          <w:szCs w:val="20"/>
          <w:lang w:val="en-GB"/>
        </w:rPr>
        <w:t xml:space="preserve"> detail</w:t>
      </w:r>
      <w:r w:rsidR="00FC5048" w:rsidRPr="00B92006">
        <w:rPr>
          <w:rFonts w:ascii="Arial" w:hAnsi="Arial" w:cs="Arial"/>
          <w:i/>
          <w:sz w:val="20"/>
          <w:szCs w:val="20"/>
          <w:lang w:val="en-GB"/>
        </w:rPr>
        <w:t>, however, the proportion</w:t>
      </w:r>
      <w:r w:rsidR="00B866BC" w:rsidRPr="00B92006">
        <w:rPr>
          <w:rFonts w:ascii="Arial" w:hAnsi="Arial" w:cs="Arial"/>
          <w:i/>
          <w:sz w:val="20"/>
          <w:szCs w:val="20"/>
          <w:lang w:val="en-GB"/>
        </w:rPr>
        <w:t xml:space="preserve"> of families of adult children is systematically </w:t>
      </w:r>
      <w:r w:rsidR="00B866BC" w:rsidRPr="00786147">
        <w:rPr>
          <w:rFonts w:ascii="Arial" w:hAnsi="Arial" w:cs="Arial"/>
          <w:i/>
          <w:sz w:val="20"/>
          <w:szCs w:val="20"/>
          <w:lang w:val="en-GB"/>
        </w:rPr>
        <w:t>overestimated</w:t>
      </w:r>
      <w:r w:rsidR="0016033D" w:rsidRPr="00786147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7E4962" w:rsidRPr="0015776C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="0016033D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FC5048" w:rsidRPr="00B92006">
        <w:rPr>
          <w:rFonts w:ascii="Arial" w:hAnsi="Arial" w:cs="Arial"/>
          <w:i/>
          <w:sz w:val="20"/>
          <w:szCs w:val="20"/>
          <w:lang w:val="en-GB"/>
        </w:rPr>
        <w:t xml:space="preserve">a result </w:t>
      </w:r>
      <w:r w:rsidR="0016033D">
        <w:rPr>
          <w:rFonts w:ascii="Arial" w:hAnsi="Arial" w:cs="Arial"/>
          <w:i/>
          <w:sz w:val="20"/>
          <w:szCs w:val="20"/>
          <w:lang w:val="en-GB"/>
        </w:rPr>
        <w:t>o</w:t>
      </w:r>
      <w:r w:rsidR="00FC5048" w:rsidRPr="00B92006">
        <w:rPr>
          <w:rFonts w:ascii="Arial" w:hAnsi="Arial" w:cs="Arial"/>
          <w:i/>
          <w:sz w:val="20"/>
          <w:szCs w:val="20"/>
          <w:lang w:val="en-GB"/>
        </w:rPr>
        <w:t>f particularly</w:t>
      </w:r>
      <w:r w:rsidR="00F030D6" w:rsidRPr="00B92006">
        <w:rPr>
          <w:rFonts w:ascii="Arial" w:hAnsi="Arial" w:cs="Arial"/>
          <w:i/>
          <w:sz w:val="20"/>
          <w:szCs w:val="20"/>
          <w:lang w:val="en-GB"/>
        </w:rPr>
        <w:t xml:space="preserve"> widespread</w:t>
      </w:r>
      <w:r w:rsidR="00FC5048" w:rsidRPr="00B9200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F030D6" w:rsidRPr="00B92006">
        <w:rPr>
          <w:rFonts w:ascii="Arial" w:hAnsi="Arial" w:cs="Arial"/>
          <w:i/>
          <w:sz w:val="20"/>
          <w:szCs w:val="20"/>
          <w:lang w:val="en-GB"/>
        </w:rPr>
        <w:t xml:space="preserve">mismatch between actual and registered place of residence </w:t>
      </w:r>
      <w:r w:rsidR="0016033D">
        <w:rPr>
          <w:rFonts w:ascii="Arial" w:hAnsi="Arial" w:cs="Arial"/>
          <w:i/>
          <w:sz w:val="20"/>
          <w:szCs w:val="20"/>
          <w:lang w:val="en-GB"/>
        </w:rPr>
        <w:t>among</w:t>
      </w:r>
      <w:r w:rsidR="00F030D6" w:rsidRPr="00B92006">
        <w:rPr>
          <w:rFonts w:ascii="Arial" w:hAnsi="Arial" w:cs="Arial"/>
          <w:i/>
          <w:sz w:val="20"/>
          <w:szCs w:val="20"/>
          <w:lang w:val="en-GB"/>
        </w:rPr>
        <w:t xml:space="preserve"> young adults.</w:t>
      </w:r>
    </w:p>
    <w:p w14:paraId="35CBF44D" w14:textId="441222C6" w:rsidR="00DB4182" w:rsidRPr="00B92006" w:rsidRDefault="00C726EA" w:rsidP="00DB4182">
      <w:pPr>
        <w:spacing w:before="240"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92006">
        <w:rPr>
          <w:rFonts w:ascii="Arial" w:hAnsi="Arial" w:cs="Arial"/>
          <w:b/>
          <w:sz w:val="20"/>
          <w:szCs w:val="20"/>
          <w:lang w:val="en-GB"/>
        </w:rPr>
        <w:t xml:space="preserve">Keywords: </w:t>
      </w:r>
      <w:r w:rsidR="006F6053" w:rsidRPr="00B92006">
        <w:rPr>
          <w:rFonts w:ascii="Arial" w:hAnsi="Arial" w:cs="Arial"/>
          <w:sz w:val="20"/>
          <w:szCs w:val="20"/>
          <w:lang w:val="en-GB"/>
        </w:rPr>
        <w:t>Couples, families, place of residence, population register, register</w:t>
      </w:r>
      <w:r w:rsidR="00625582" w:rsidRPr="00B92006">
        <w:rPr>
          <w:rFonts w:ascii="Arial" w:hAnsi="Arial" w:cs="Arial"/>
          <w:sz w:val="20"/>
          <w:szCs w:val="20"/>
          <w:lang w:val="en-GB"/>
        </w:rPr>
        <w:t>-</w:t>
      </w:r>
      <w:r w:rsidR="006F6053" w:rsidRPr="00B92006">
        <w:rPr>
          <w:rFonts w:ascii="Arial" w:hAnsi="Arial" w:cs="Arial"/>
          <w:sz w:val="20"/>
          <w:szCs w:val="20"/>
          <w:lang w:val="en-GB"/>
        </w:rPr>
        <w:t>based census</w:t>
      </w:r>
    </w:p>
    <w:p w14:paraId="6C68094F" w14:textId="77777777" w:rsidR="006B1F86" w:rsidRPr="00B92006" w:rsidRDefault="006B1F86" w:rsidP="005D44F8">
      <w:pPr>
        <w:pStyle w:val="NSMpealkiri2"/>
      </w:pPr>
      <w:r w:rsidRPr="00B92006">
        <w:t xml:space="preserve">1. </w:t>
      </w:r>
      <w:r w:rsidR="006F6053" w:rsidRPr="00B92006">
        <w:t>Introduction</w:t>
      </w:r>
    </w:p>
    <w:p w14:paraId="2CBBE689" w14:textId="379F6372" w:rsidR="00FC7883" w:rsidRPr="00B92006" w:rsidRDefault="006725B1" w:rsidP="005D44F8">
      <w:pPr>
        <w:pStyle w:val="NSMnormal"/>
      </w:pPr>
      <w:r w:rsidRPr="00B92006">
        <w:t>The list of countries that perform register</w:t>
      </w:r>
      <w:r w:rsidR="00E92DFD" w:rsidRPr="00B92006">
        <w:t>-</w:t>
      </w:r>
      <w:r w:rsidRPr="00B92006">
        <w:t>based census</w:t>
      </w:r>
      <w:r w:rsidR="00AE0A49" w:rsidRPr="00B92006">
        <w:t xml:space="preserve">es will include five new countries in the 2020 census round: Spain, Turkey, Lithuania, Latvia and Estonia </w:t>
      </w:r>
      <w:r w:rsidR="00947368" w:rsidRPr="00B92006">
        <w:t xml:space="preserve">(UNECE, </w:t>
      </w:r>
      <w:proofErr w:type="spellStart"/>
      <w:r w:rsidR="00947368" w:rsidRPr="00B92006">
        <w:t>n.d.</w:t>
      </w:r>
      <w:proofErr w:type="spellEnd"/>
      <w:r w:rsidR="00947368" w:rsidRPr="00B92006">
        <w:t>)</w:t>
      </w:r>
      <w:r w:rsidR="00FC7883" w:rsidRPr="00B92006">
        <w:t xml:space="preserve">. Estonia has actively prepared for </w:t>
      </w:r>
      <w:r w:rsidR="00A53AAE">
        <w:t xml:space="preserve">the </w:t>
      </w:r>
      <w:r w:rsidR="00FC7883" w:rsidRPr="00B92006">
        <w:t>first register</w:t>
      </w:r>
      <w:r w:rsidR="00E92DFD" w:rsidRPr="00B92006">
        <w:t>-</w:t>
      </w:r>
      <w:r w:rsidR="00FC7883" w:rsidRPr="00B92006">
        <w:t xml:space="preserve">based census since </w:t>
      </w:r>
      <w:r w:rsidRPr="00B92006">
        <w:t xml:space="preserve">2010 </w:t>
      </w:r>
      <w:r w:rsidR="00947368" w:rsidRPr="00B92006">
        <w:t>(</w:t>
      </w:r>
      <w:proofErr w:type="spellStart"/>
      <w:r w:rsidR="00947368" w:rsidRPr="00B92006">
        <w:t>Matteus</w:t>
      </w:r>
      <w:proofErr w:type="spellEnd"/>
      <w:r w:rsidR="00947368" w:rsidRPr="00B92006">
        <w:t>, 2013)</w:t>
      </w:r>
      <w:r w:rsidR="007A2CC8" w:rsidRPr="00B92006">
        <w:t xml:space="preserve">. </w:t>
      </w:r>
      <w:r w:rsidR="005C400B" w:rsidRPr="00B92006">
        <w:t xml:space="preserve">The census topics are covered by registers and </w:t>
      </w:r>
      <w:r w:rsidR="00A53AAE">
        <w:t xml:space="preserve">the </w:t>
      </w:r>
      <w:r w:rsidR="005C400B" w:rsidRPr="00B92006">
        <w:t>unified identification system for people, addresses and businesses allows linking different sources easily</w:t>
      </w:r>
      <w:r w:rsidR="0024203C" w:rsidRPr="00B92006">
        <w:t xml:space="preserve"> </w:t>
      </w:r>
      <w:r w:rsidR="00947368" w:rsidRPr="00B92006">
        <w:t>(Tiit, 2015)</w:t>
      </w:r>
      <w:r w:rsidR="005C400B" w:rsidRPr="00B92006">
        <w:t xml:space="preserve">. The first </w:t>
      </w:r>
      <w:r w:rsidR="00BD5BE2" w:rsidRPr="00B92006">
        <w:t xml:space="preserve">Estonian </w:t>
      </w:r>
      <w:r w:rsidR="005C400B" w:rsidRPr="00B92006">
        <w:t xml:space="preserve">pilot census in 2016 proved satisfactory </w:t>
      </w:r>
      <w:r w:rsidR="00A53AAE">
        <w:t xml:space="preserve">in terms of </w:t>
      </w:r>
      <w:r w:rsidR="005C400B" w:rsidRPr="00B92006">
        <w:t xml:space="preserve">quality </w:t>
      </w:r>
      <w:r w:rsidR="00A53AAE">
        <w:t>for</w:t>
      </w:r>
      <w:r w:rsidR="005C400B" w:rsidRPr="00B92006">
        <w:t xml:space="preserve"> most of the census characteristics. </w:t>
      </w:r>
      <w:r w:rsidR="00BD5BE2" w:rsidRPr="00B92006">
        <w:t>However, i</w:t>
      </w:r>
      <w:r w:rsidR="00880624" w:rsidRPr="00B92006">
        <w:t xml:space="preserve">n </w:t>
      </w:r>
      <w:r w:rsidR="00BD5BE2" w:rsidRPr="00B92006">
        <w:t xml:space="preserve">a </w:t>
      </w:r>
      <w:r w:rsidR="00807761" w:rsidRPr="00B92006">
        <w:t xml:space="preserve">report </w:t>
      </w:r>
      <w:r w:rsidR="00BD5BE2" w:rsidRPr="00B92006">
        <w:t xml:space="preserve">on this </w:t>
      </w:r>
      <w:r w:rsidR="00807761" w:rsidRPr="00B92006">
        <w:t xml:space="preserve">pilot census </w:t>
      </w:r>
      <w:r w:rsidR="00880624" w:rsidRPr="00B92006">
        <w:t>it is stated</w:t>
      </w:r>
      <w:r w:rsidR="00807761" w:rsidRPr="00B92006">
        <w:t xml:space="preserve"> that </w:t>
      </w:r>
      <w:r w:rsidR="00A53AAE">
        <w:t xml:space="preserve">the </w:t>
      </w:r>
      <w:r w:rsidR="00880624" w:rsidRPr="00B92006">
        <w:t xml:space="preserve">greatest problem </w:t>
      </w:r>
      <w:r w:rsidR="0010571F" w:rsidRPr="00B92006">
        <w:t>with</w:t>
      </w:r>
      <w:r w:rsidR="00880624" w:rsidRPr="00B92006">
        <w:t xml:space="preserve"> register</w:t>
      </w:r>
      <w:r w:rsidR="00E92DFD" w:rsidRPr="00B92006">
        <w:t>-</w:t>
      </w:r>
      <w:r w:rsidR="00880624" w:rsidRPr="00B92006">
        <w:t xml:space="preserve">based census is the </w:t>
      </w:r>
      <w:r w:rsidR="00880624" w:rsidRPr="00B92006">
        <w:lastRenderedPageBreak/>
        <w:t xml:space="preserve">difference between registered and actual places of residence. </w:t>
      </w:r>
      <w:r w:rsidR="00947368" w:rsidRPr="00B92006">
        <w:t>(Statistics Estonia, 2017)</w:t>
      </w:r>
    </w:p>
    <w:p w14:paraId="3F87E68B" w14:textId="30CA8DB7" w:rsidR="00401F04" w:rsidRPr="00B92006" w:rsidRDefault="00083FAD" w:rsidP="005C11D1">
      <w:pPr>
        <w:pStyle w:val="NSMnormal"/>
        <w:rPr>
          <w:color w:val="808080" w:themeColor="background1" w:themeShade="80"/>
        </w:rPr>
      </w:pPr>
      <w:r>
        <w:t>According to the</w:t>
      </w:r>
      <w:r w:rsidR="00403977" w:rsidRPr="00B92006">
        <w:t xml:space="preserve"> Population Register Act, it is compulsory for </w:t>
      </w:r>
      <w:r>
        <w:t xml:space="preserve">the </w:t>
      </w:r>
      <w:r w:rsidR="00403977" w:rsidRPr="00B92006">
        <w:t xml:space="preserve">residents to register their home address in </w:t>
      </w:r>
      <w:r>
        <w:t xml:space="preserve">the </w:t>
      </w:r>
      <w:r w:rsidR="00403977" w:rsidRPr="00B92006">
        <w:t>Population Register (PR) and keep that information up to date</w:t>
      </w:r>
      <w:r w:rsidR="005D7CF6" w:rsidRPr="00B92006">
        <w:t xml:space="preserve"> </w:t>
      </w:r>
      <w:r w:rsidR="00947368" w:rsidRPr="00570FA4">
        <w:t>(</w:t>
      </w:r>
      <w:r w:rsidR="00947368" w:rsidRPr="00570FA4">
        <w:rPr>
          <w:iCs/>
        </w:rPr>
        <w:t>Population Register Act</w:t>
      </w:r>
      <w:r w:rsidR="00947368" w:rsidRPr="00570FA4">
        <w:t>, 2000)</w:t>
      </w:r>
      <w:r w:rsidR="00403977" w:rsidRPr="00B92006">
        <w:t xml:space="preserve">. </w:t>
      </w:r>
      <w:r w:rsidR="005C11D1" w:rsidRPr="00B92006">
        <w:t>In 2015, the Estonian Labo</w:t>
      </w:r>
      <w:r>
        <w:t>u</w:t>
      </w:r>
      <w:r w:rsidR="005C11D1" w:rsidRPr="00B92006">
        <w:t xml:space="preserve">r Force Survey included questions about registering </w:t>
      </w:r>
      <w:r>
        <w:t xml:space="preserve">the </w:t>
      </w:r>
      <w:r w:rsidR="005C11D1" w:rsidRPr="00B92006">
        <w:t>place of residence in PR. Among 15</w:t>
      </w:r>
      <w:r w:rsidR="00340196" w:rsidRPr="00B92006">
        <w:t>–</w:t>
      </w:r>
      <w:r w:rsidR="005C11D1" w:rsidRPr="00B92006">
        <w:t>74</w:t>
      </w:r>
      <w:r w:rsidR="008C4DD3" w:rsidRPr="00B92006">
        <w:t>-</w:t>
      </w:r>
      <w:r w:rsidR="005C11D1" w:rsidRPr="00B92006">
        <w:t xml:space="preserve">year old respondents, only 88% were registered </w:t>
      </w:r>
      <w:r>
        <w:t>in</w:t>
      </w:r>
      <w:r w:rsidR="005C11D1" w:rsidRPr="00B92006">
        <w:t xml:space="preserve"> their actual home. The main reason for not registering </w:t>
      </w:r>
      <w:r>
        <w:t xml:space="preserve">the </w:t>
      </w:r>
      <w:r w:rsidR="005C11D1" w:rsidRPr="00B92006">
        <w:t xml:space="preserve">actual place of residence was </w:t>
      </w:r>
      <w:r>
        <w:t xml:space="preserve">that it was </w:t>
      </w:r>
      <w:r w:rsidR="005C11D1" w:rsidRPr="00B92006">
        <w:t>consider</w:t>
      </w:r>
      <w:r>
        <w:t>ed</w:t>
      </w:r>
      <w:r w:rsidR="005C11D1" w:rsidRPr="00B92006">
        <w:t xml:space="preserve"> unnecessary. Many also stated that they lived in </w:t>
      </w:r>
      <w:r>
        <w:t xml:space="preserve">the </w:t>
      </w:r>
      <w:r w:rsidR="005C11D1" w:rsidRPr="00B92006">
        <w:t xml:space="preserve">current dwelling only temporarily or there were some local benefits involved (place in kindergarten or school, optimising land tax </w:t>
      </w:r>
      <w:r w:rsidR="005C11D1" w:rsidRPr="00B92006">
        <w:rPr>
          <w:i/>
        </w:rPr>
        <w:t>etc.</w:t>
      </w:r>
      <w:r w:rsidR="005C11D1" w:rsidRPr="00B92006">
        <w:t xml:space="preserve">) </w:t>
      </w:r>
      <w:r w:rsidR="00947368" w:rsidRPr="0015776C">
        <w:t>(Äär, 2017)</w:t>
      </w:r>
      <w:r w:rsidR="005C11D1" w:rsidRPr="00B92006">
        <w:t xml:space="preserve">. According to </w:t>
      </w:r>
      <w:r>
        <w:t xml:space="preserve">the </w:t>
      </w:r>
      <w:r w:rsidR="005C11D1" w:rsidRPr="00B92006">
        <w:t xml:space="preserve">Comparative Survey of Household and Place of Residence (CSHPR), 80% of people had </w:t>
      </w:r>
      <w:r>
        <w:t xml:space="preserve">the </w:t>
      </w:r>
      <w:r w:rsidR="005C11D1" w:rsidRPr="00B92006">
        <w:t>correct address in PR in 2018.</w:t>
      </w:r>
      <w:r w:rsidR="00456477" w:rsidRPr="00B92006">
        <w:rPr>
          <w:color w:val="808080" w:themeColor="background1" w:themeShade="80"/>
        </w:rPr>
        <w:t xml:space="preserve"> </w:t>
      </w:r>
    </w:p>
    <w:p w14:paraId="5BA434FE" w14:textId="5245D694" w:rsidR="007E0ECE" w:rsidRPr="00B92006" w:rsidRDefault="001636BC" w:rsidP="005D44F8">
      <w:pPr>
        <w:pStyle w:val="NSMnormal"/>
      </w:pPr>
      <w:r w:rsidRPr="00B92006">
        <w:t xml:space="preserve">The ignorance </w:t>
      </w:r>
      <w:r w:rsidR="00E91BD1">
        <w:t>of</w:t>
      </w:r>
      <w:r w:rsidRPr="00B92006">
        <w:t xml:space="preserve"> having </w:t>
      </w:r>
      <w:r w:rsidR="00E91BD1">
        <w:t xml:space="preserve">a </w:t>
      </w:r>
      <w:r w:rsidRPr="00B92006">
        <w:t xml:space="preserve">correct place of residence in PR also applies to </w:t>
      </w:r>
      <w:r w:rsidR="00E91BD1">
        <w:t>e</w:t>
      </w:r>
      <w:r w:rsidRPr="00B92006">
        <w:t>migra</w:t>
      </w:r>
      <w:r w:rsidR="00E91BD1">
        <w:t>nts</w:t>
      </w:r>
      <w:r w:rsidRPr="00B92006">
        <w:t xml:space="preserve">. It has been estimated that </w:t>
      </w:r>
      <w:r w:rsidR="002B153B" w:rsidRPr="00B92006">
        <w:t>in 2016, 3%</w:t>
      </w:r>
      <w:r w:rsidRPr="00B92006">
        <w:t xml:space="preserve"> of people in PR</w:t>
      </w:r>
      <w:r w:rsidR="0024203C" w:rsidRPr="00B92006">
        <w:t xml:space="preserve"> </w:t>
      </w:r>
      <w:r w:rsidR="002B153B" w:rsidRPr="00B92006">
        <w:t xml:space="preserve">were actually unregistered emigrants </w:t>
      </w:r>
      <w:r w:rsidR="00947368" w:rsidRPr="00B92006">
        <w:t>(Meres, 2017)</w:t>
      </w:r>
      <w:r w:rsidRPr="00B92006">
        <w:t xml:space="preserve">. </w:t>
      </w:r>
      <w:r w:rsidR="002B153B" w:rsidRPr="00B92006">
        <w:t>Since</w:t>
      </w:r>
      <w:r w:rsidRPr="00B92006">
        <w:t xml:space="preserve"> PR is over</w:t>
      </w:r>
      <w:r w:rsidR="00E92DFD" w:rsidRPr="00B92006">
        <w:t>-</w:t>
      </w:r>
      <w:r w:rsidRPr="00B92006">
        <w:t>covered</w:t>
      </w:r>
      <w:r w:rsidR="002B153B" w:rsidRPr="00B92006">
        <w:t>, it</w:t>
      </w:r>
      <w:r w:rsidRPr="00B92006">
        <w:t xml:space="preserve"> </w:t>
      </w:r>
      <w:r w:rsidR="009677F5" w:rsidRPr="00B92006">
        <w:t>cannot directly be used as a population frame for census.</w:t>
      </w:r>
    </w:p>
    <w:p w14:paraId="0AD9AC23" w14:textId="079A3506" w:rsidR="0044295D" w:rsidRPr="00B92006" w:rsidRDefault="001120A6" w:rsidP="005D44F8">
      <w:pPr>
        <w:pStyle w:val="NSMnormal"/>
      </w:pPr>
      <w:r w:rsidRPr="00B92006">
        <w:t xml:space="preserve">The </w:t>
      </w:r>
      <w:r w:rsidRPr="00B92006">
        <w:rPr>
          <w:i/>
        </w:rPr>
        <w:t>residency index</w:t>
      </w:r>
      <w:r w:rsidRPr="00B92006">
        <w:t xml:space="preserve"> is a methodology Statistics Estonia developed to determine the actual population. It is based on the idea that actual residents of Estonia show up in various registers more often than non</w:t>
      </w:r>
      <w:r w:rsidR="00E92DFD" w:rsidRPr="00B92006">
        <w:t>-</w:t>
      </w:r>
      <w:r w:rsidRPr="00B92006">
        <w:t>residents. Each activity in the register</w:t>
      </w:r>
      <w:r w:rsidR="00A265F7">
        <w:t xml:space="preserve"> </w:t>
      </w:r>
      <w:r w:rsidR="007E4962">
        <w:rPr>
          <w:shd w:val="clear" w:color="auto" w:fill="FFFFFF"/>
        </w:rPr>
        <w:t>–</w:t>
      </w:r>
      <w:r w:rsidR="00A265F7">
        <w:t xml:space="preserve"> </w:t>
      </w:r>
      <w:r w:rsidRPr="00B92006">
        <w:t>e.g. going to school, working, visiting doctor</w:t>
      </w:r>
      <w:r w:rsidR="00A265F7">
        <w:t xml:space="preserve"> </w:t>
      </w:r>
      <w:r w:rsidR="007E4962">
        <w:rPr>
          <w:shd w:val="clear" w:color="auto" w:fill="FFFFFF"/>
        </w:rPr>
        <w:t>–</w:t>
      </w:r>
      <w:r w:rsidR="00A265F7">
        <w:t xml:space="preserve"> </w:t>
      </w:r>
      <w:r w:rsidRPr="00B92006">
        <w:t xml:space="preserve">is </w:t>
      </w:r>
      <w:r w:rsidR="00F92D39" w:rsidRPr="00B92006">
        <w:t xml:space="preserve">a binary variable </w:t>
      </w:r>
      <w:r w:rsidRPr="00B92006">
        <w:t xml:space="preserve">called ‘sign of life’ (SOL). The residency index for each individual </w:t>
      </w:r>
      <w:r w:rsidR="00A265F7">
        <w:t>at</w:t>
      </w:r>
      <w:r w:rsidRPr="00B92006">
        <w:t xml:space="preserve"> a given moment is a weighted sum of his/her SOLs from the previous year. Weights depend on each SOL’s capacity to discriminate residents from non</w:t>
      </w:r>
      <w:r w:rsidR="00E92DFD" w:rsidRPr="00B92006">
        <w:t>-</w:t>
      </w:r>
      <w:r w:rsidRPr="00B92006">
        <w:t>residents.</w:t>
      </w:r>
      <w:r w:rsidR="006725B1" w:rsidRPr="00B92006">
        <w:t xml:space="preserve"> </w:t>
      </w:r>
      <w:r w:rsidR="00947368" w:rsidRPr="0015776C">
        <w:t>(Tiit and Maasing, 2016; Maasing, Tiit and Vähi, 2017)</w:t>
      </w:r>
    </w:p>
    <w:p w14:paraId="2E1E5036" w14:textId="01CF453F" w:rsidR="00F92D39" w:rsidRPr="00B92006" w:rsidRDefault="00F92D39" w:rsidP="005D44F8">
      <w:pPr>
        <w:pStyle w:val="NSMnormal"/>
      </w:pPr>
      <w:r w:rsidRPr="00B92006">
        <w:t xml:space="preserve">The residency index has been used to calculate </w:t>
      </w:r>
      <w:r w:rsidR="00A265F7">
        <w:t xml:space="preserve">the </w:t>
      </w:r>
      <w:r w:rsidRPr="00B92006">
        <w:t>population size since 2016 and migration flows since 2015.</w:t>
      </w:r>
      <w:r w:rsidR="00D822DA" w:rsidRPr="00B92006">
        <w:t xml:space="preserve"> To estimate </w:t>
      </w:r>
      <w:r w:rsidR="00A265F7">
        <w:t xml:space="preserve">the </w:t>
      </w:r>
      <w:r w:rsidR="00D822DA" w:rsidRPr="00B92006">
        <w:t xml:space="preserve">population size for </w:t>
      </w:r>
      <w:r w:rsidR="00A00470" w:rsidRPr="00B92006">
        <w:t>1</w:t>
      </w:r>
      <w:r w:rsidR="00A00470" w:rsidRPr="00B92006">
        <w:rPr>
          <w:vertAlign w:val="superscript"/>
        </w:rPr>
        <w:t xml:space="preserve"> </w:t>
      </w:r>
      <w:r w:rsidR="005C131E" w:rsidRPr="00B92006">
        <w:t>Jan</w:t>
      </w:r>
      <w:r w:rsidR="00A00470" w:rsidRPr="00B92006">
        <w:t>uary</w:t>
      </w:r>
      <w:r w:rsidR="005C131E" w:rsidRPr="00B92006">
        <w:t xml:space="preserve"> </w:t>
      </w:r>
      <w:r w:rsidR="00D822DA" w:rsidRPr="00B92006">
        <w:t>2019, 33 SOLs from 17 registers we</w:t>
      </w:r>
      <w:r w:rsidRPr="00B92006">
        <w:t xml:space="preserve">re used. </w:t>
      </w:r>
    </w:p>
    <w:p w14:paraId="5BF7FB50" w14:textId="1A41C102" w:rsidR="00F92D39" w:rsidRPr="00B92006" w:rsidRDefault="00D822DA" w:rsidP="005A2A25">
      <w:pPr>
        <w:pStyle w:val="NSMnormal"/>
      </w:pPr>
      <w:r w:rsidRPr="00B92006">
        <w:t>Poor</w:t>
      </w:r>
      <w:r w:rsidR="006439D6" w:rsidRPr="00B92006">
        <w:t xml:space="preserve"> registration of</w:t>
      </w:r>
      <w:r w:rsidRPr="00B92006">
        <w:t xml:space="preserve"> place of residence data also distorts </w:t>
      </w:r>
      <w:r w:rsidR="00A265F7">
        <w:t xml:space="preserve">the </w:t>
      </w:r>
      <w:r w:rsidRPr="00B92006">
        <w:t xml:space="preserve">statistics on families and households. </w:t>
      </w:r>
      <w:r w:rsidR="00DF34E1" w:rsidRPr="00B92006">
        <w:t xml:space="preserve">In the PC2016, </w:t>
      </w:r>
      <w:r w:rsidR="00F43A14" w:rsidRPr="00B92006">
        <w:t xml:space="preserve">distribution of family nuclei by type deviates heavily from </w:t>
      </w:r>
      <w:r w:rsidR="00A265F7">
        <w:t xml:space="preserve">the </w:t>
      </w:r>
      <w:r w:rsidR="00F43A14" w:rsidRPr="00B92006">
        <w:t xml:space="preserve">2011 census. </w:t>
      </w:r>
      <w:r w:rsidR="003D2D02" w:rsidRPr="00B92006">
        <w:t xml:space="preserve">In </w:t>
      </w:r>
      <w:r w:rsidR="00A265F7">
        <w:t xml:space="preserve">the </w:t>
      </w:r>
      <w:r w:rsidR="005C131E" w:rsidRPr="00B92006">
        <w:t xml:space="preserve">2011 </w:t>
      </w:r>
      <w:r w:rsidR="003D2D02" w:rsidRPr="00B92006">
        <w:t>census, 24% of nuclear families were lone partner families. With register</w:t>
      </w:r>
      <w:r w:rsidR="00625582" w:rsidRPr="00B92006">
        <w:t>-</w:t>
      </w:r>
      <w:r w:rsidR="003D2D02" w:rsidRPr="00B92006">
        <w:t xml:space="preserve">based method, lone parent families constituted 41% of all family nuclei. Accordingly, proportion of married and consensual union couples showed </w:t>
      </w:r>
      <w:r w:rsidR="00A265F7">
        <w:t xml:space="preserve">a </w:t>
      </w:r>
      <w:r w:rsidR="003D2D02" w:rsidRPr="00B92006">
        <w:t xml:space="preserve">drop from 76% in 2011 census to 59% in </w:t>
      </w:r>
      <w:r w:rsidR="005A2A25" w:rsidRPr="00B92006">
        <w:t xml:space="preserve">PC2016 </w:t>
      </w:r>
      <w:r w:rsidR="00947368" w:rsidRPr="00B92006">
        <w:t>(Statistics Estonia, 2017)</w:t>
      </w:r>
      <w:r w:rsidR="003D2D02" w:rsidRPr="00B92006">
        <w:t>.</w:t>
      </w:r>
      <w:r w:rsidR="00F43A14" w:rsidRPr="00B92006">
        <w:t xml:space="preserve"> Although </w:t>
      </w:r>
      <w:r w:rsidR="00F43A14" w:rsidRPr="00B92006">
        <w:lastRenderedPageBreak/>
        <w:t xml:space="preserve">changes in society </w:t>
      </w:r>
      <w:r w:rsidR="004F6D93" w:rsidRPr="00B92006">
        <w:t>over</w:t>
      </w:r>
      <w:r w:rsidR="00F43A14" w:rsidRPr="00B92006">
        <w:t xml:space="preserve"> 4 years and</w:t>
      </w:r>
      <w:r w:rsidR="00A265F7">
        <w:t xml:space="preserve"> </w:t>
      </w:r>
      <w:r w:rsidR="00F43A14" w:rsidRPr="00B92006">
        <w:t xml:space="preserve">in </w:t>
      </w:r>
      <w:r w:rsidR="004F6D93" w:rsidRPr="00B92006">
        <w:t>household definition</w:t>
      </w:r>
      <w:r w:rsidR="00F43A14" w:rsidRPr="00B92006">
        <w:t xml:space="preserve"> </w:t>
      </w:r>
      <w:r w:rsidR="00334605" w:rsidRPr="00B92006">
        <w:t xml:space="preserve">also </w:t>
      </w:r>
      <w:r w:rsidR="00F43A14" w:rsidRPr="00B92006">
        <w:t xml:space="preserve">contribute, </w:t>
      </w:r>
      <w:r w:rsidR="003D2D02" w:rsidRPr="00B92006">
        <w:t>the over</w:t>
      </w:r>
      <w:r w:rsidR="00625582" w:rsidRPr="00B92006">
        <w:t>-</w:t>
      </w:r>
      <w:r w:rsidR="003D2D02" w:rsidRPr="00B92006">
        <w:t>estimation of lone parents</w:t>
      </w:r>
      <w:r w:rsidR="00334605" w:rsidRPr="00B92006">
        <w:t xml:space="preserve"> is</w:t>
      </w:r>
      <w:r w:rsidR="00F43A14" w:rsidRPr="00B92006">
        <w:t xml:space="preserve"> mostly explained by family members registering in different dwellings</w:t>
      </w:r>
      <w:r w:rsidR="00252BD9" w:rsidRPr="00B92006">
        <w:t xml:space="preserve"> (Tiit, Visk and Levenko, 2018)</w:t>
      </w:r>
      <w:r w:rsidR="00F43A14" w:rsidRPr="00B92006">
        <w:t>.</w:t>
      </w:r>
      <w:r w:rsidR="000C4A64" w:rsidRPr="00B92006">
        <w:t xml:space="preserve"> </w:t>
      </w:r>
    </w:p>
    <w:p w14:paraId="13568062" w14:textId="00C82548" w:rsidR="000C4A64" w:rsidRPr="00B92006" w:rsidRDefault="00BC228F" w:rsidP="005D44F8">
      <w:pPr>
        <w:pStyle w:val="NSMnormal"/>
      </w:pPr>
      <w:r w:rsidRPr="00B92006">
        <w:t>Bringing together the</w:t>
      </w:r>
      <w:r w:rsidR="006439D6" w:rsidRPr="00B92006">
        <w:t xml:space="preserve"> </w:t>
      </w:r>
      <w:r w:rsidR="000C4A64" w:rsidRPr="00B92006">
        <w:t xml:space="preserve">family members </w:t>
      </w:r>
      <w:r w:rsidR="006439D6" w:rsidRPr="00B92006">
        <w:t>who are registered at different</w:t>
      </w:r>
      <w:r w:rsidR="000C4A64" w:rsidRPr="00B92006">
        <w:t xml:space="preserve"> addresses is a complex, yet not unsolvable task. PR covers links between children and their parents</w:t>
      </w:r>
      <w:r w:rsidR="005A2A25" w:rsidRPr="00B92006">
        <w:t xml:space="preserve"> and</w:t>
      </w:r>
      <w:r w:rsidR="000C4A64" w:rsidRPr="00B92006">
        <w:t xml:space="preserve"> contains information of married couples. Other registers offer hints that either increase or decrease </w:t>
      </w:r>
      <w:r w:rsidR="00E231AA" w:rsidRPr="00B92006">
        <w:t xml:space="preserve">the </w:t>
      </w:r>
      <w:r w:rsidR="000C4A64" w:rsidRPr="00B92006">
        <w:t>p</w:t>
      </w:r>
      <w:r w:rsidR="005C131E" w:rsidRPr="00B92006">
        <w:t>robability of partnership of</w:t>
      </w:r>
      <w:r w:rsidR="000C4A64" w:rsidRPr="00B92006">
        <w:t xml:space="preserve"> potential partners, e.g. co</w:t>
      </w:r>
      <w:r w:rsidR="00625582" w:rsidRPr="00B92006">
        <w:t>-</w:t>
      </w:r>
      <w:r w:rsidR="000C4A64" w:rsidRPr="00B92006">
        <w:t xml:space="preserve">owning a property or paying alimony. </w:t>
      </w:r>
      <w:r w:rsidR="00EB0FA9" w:rsidRPr="00B92006">
        <w:t>Statistics Estonia is developing a methodology called ‘partnership index’ that uses these ‘signs of partnership’ (SOPs) to find actual couples.</w:t>
      </w:r>
      <w:r w:rsidR="000C4A64" w:rsidRPr="00B92006">
        <w:t xml:space="preserve"> </w:t>
      </w:r>
      <w:r w:rsidR="00E231AA" w:rsidRPr="00B92006">
        <w:t>In essence, it is analogous to residency index as it uses additional administrative sources to correct the biases induced by poor quality of place of residence data</w:t>
      </w:r>
      <w:r w:rsidR="008F0241" w:rsidRPr="00B92006">
        <w:t xml:space="preserve"> in PR</w:t>
      </w:r>
      <w:r w:rsidR="00E231AA" w:rsidRPr="00B92006">
        <w:t>.</w:t>
      </w:r>
    </w:p>
    <w:p w14:paraId="41DDB8BF" w14:textId="566507A4" w:rsidR="005D44F8" w:rsidRPr="00B92006" w:rsidRDefault="00EB0FA9" w:rsidP="005D44F8">
      <w:pPr>
        <w:pStyle w:val="NSMnormal"/>
      </w:pPr>
      <w:r w:rsidRPr="00B92006">
        <w:t xml:space="preserve">In this paper, we give </w:t>
      </w:r>
      <w:r w:rsidR="00194A9D" w:rsidRPr="00B92006">
        <w:t xml:space="preserve">an </w:t>
      </w:r>
      <w:r w:rsidRPr="00B92006">
        <w:t xml:space="preserve">overview of </w:t>
      </w:r>
      <w:r w:rsidR="00194A9D" w:rsidRPr="00B92006">
        <w:t xml:space="preserve">the </w:t>
      </w:r>
      <w:r w:rsidRPr="00B92006">
        <w:t>partnership index and test it</w:t>
      </w:r>
      <w:r w:rsidR="00BC228F" w:rsidRPr="00B92006">
        <w:t>s impact on family composition</w:t>
      </w:r>
      <w:r w:rsidRPr="00B92006">
        <w:t xml:space="preserve"> on survey data.</w:t>
      </w:r>
    </w:p>
    <w:p w14:paraId="72055BDD" w14:textId="18E6C4D8" w:rsidR="006F6053" w:rsidRPr="00B92006" w:rsidRDefault="006F6053" w:rsidP="005D44F8">
      <w:pPr>
        <w:pStyle w:val="NSMpealkiri2"/>
      </w:pPr>
      <w:r w:rsidRPr="00B92006">
        <w:t>2</w:t>
      </w:r>
      <w:r w:rsidR="00EB0FA9" w:rsidRPr="00B92006">
        <w:t>. The partnership index</w:t>
      </w:r>
    </w:p>
    <w:p w14:paraId="4E31F5BD" w14:textId="515E4E2A" w:rsidR="00194A9D" w:rsidRPr="00B92006" w:rsidRDefault="00194A9D" w:rsidP="005D44F8">
      <w:pPr>
        <w:pStyle w:val="NSMnormal"/>
      </w:pPr>
      <w:r w:rsidRPr="00B92006">
        <w:t>The earlier versions of partnership index are introduced in</w:t>
      </w:r>
      <w:r w:rsidR="00625582" w:rsidRPr="00B92006">
        <w:t>-</w:t>
      </w:r>
      <w:r w:rsidRPr="00B92006">
        <w:t xml:space="preserve">depth </w:t>
      </w:r>
      <w:r w:rsidR="0085675B" w:rsidRPr="00B92006">
        <w:t xml:space="preserve">in </w:t>
      </w:r>
      <w:r w:rsidR="00725663" w:rsidRPr="00B92006">
        <w:t>previous publications</w:t>
      </w:r>
      <w:r w:rsidRPr="00B92006">
        <w:t xml:space="preserve"> </w:t>
      </w:r>
      <w:r w:rsidR="00947368" w:rsidRPr="00B92006">
        <w:t>(Tiit, Visk and Levenko, 2018; Visk, 2019)</w:t>
      </w:r>
      <w:r w:rsidRPr="00B92006">
        <w:t xml:space="preserve">. </w:t>
      </w:r>
    </w:p>
    <w:p w14:paraId="304DE1E3" w14:textId="5814E5F7" w:rsidR="005D44F8" w:rsidRPr="00B92006" w:rsidRDefault="0085675B" w:rsidP="005D44F8">
      <w:pPr>
        <w:pStyle w:val="NSMnormal"/>
      </w:pPr>
      <w:r w:rsidRPr="00B92006">
        <w:t>The p</w:t>
      </w:r>
      <w:r w:rsidR="00334605" w:rsidRPr="00B92006">
        <w:t xml:space="preserve">artnership data covers all couples that share at least one SOP. </w:t>
      </w:r>
      <w:r w:rsidR="00D32B80" w:rsidRPr="00B92006">
        <w:t xml:space="preserve">To narrow down </w:t>
      </w:r>
      <w:r w:rsidR="00F43640" w:rsidRPr="00B92006">
        <w:t>the task of finding partners, the data is restricted to opposite-sex</w:t>
      </w:r>
      <w:r w:rsidR="00334605" w:rsidRPr="00B92006">
        <w:t xml:space="preserve"> couples</w:t>
      </w:r>
      <w:r w:rsidR="00252BD9" w:rsidRPr="00B92006">
        <w:t>.</w:t>
      </w:r>
      <w:r w:rsidR="00334605" w:rsidRPr="00B92006">
        <w:t xml:space="preserve"> </w:t>
      </w:r>
      <w:r w:rsidR="00F43640" w:rsidRPr="00190D6B">
        <w:t>C</w:t>
      </w:r>
      <w:r w:rsidR="00334605" w:rsidRPr="00B92006">
        <w:t>lose relatives are excluded and only adult population (</w:t>
      </w:r>
      <w:r w:rsidR="006765E2" w:rsidRPr="00B92006">
        <w:t>≥</w:t>
      </w:r>
      <w:r w:rsidR="00334605" w:rsidRPr="00B92006">
        <w:t xml:space="preserve">18 years of age) is considered. </w:t>
      </w:r>
      <w:r w:rsidR="00F20004">
        <w:t>One</w:t>
      </w:r>
      <w:r w:rsidR="00334605" w:rsidRPr="00B92006">
        <w:t xml:space="preserve"> person may have SOPs with multiple people. </w:t>
      </w:r>
      <w:r w:rsidR="006F2188" w:rsidRPr="00B92006">
        <w:t xml:space="preserve">We call </w:t>
      </w:r>
      <w:r w:rsidRPr="00B92006">
        <w:t xml:space="preserve">the </w:t>
      </w:r>
      <w:r w:rsidR="006F2188" w:rsidRPr="00B92006">
        <w:t>couples in the partnership data ‘quasi</w:t>
      </w:r>
      <w:r w:rsidR="00625582" w:rsidRPr="00B92006">
        <w:t>-</w:t>
      </w:r>
      <w:r w:rsidR="006F2188" w:rsidRPr="00B92006">
        <w:t>couples’. The goal of partnership index is to find actual partners among the quasi</w:t>
      </w:r>
      <w:r w:rsidR="00625582" w:rsidRPr="00B92006">
        <w:t>-</w:t>
      </w:r>
      <w:r w:rsidR="006F2188" w:rsidRPr="00B92006">
        <w:t xml:space="preserve">couples. </w:t>
      </w:r>
    </w:p>
    <w:p w14:paraId="3BBA184F" w14:textId="172D38D1" w:rsidR="0085675B" w:rsidRPr="00B92006" w:rsidRDefault="00DF3142" w:rsidP="00762017">
      <w:pPr>
        <w:pStyle w:val="NSMnormal"/>
      </w:pPr>
      <w:r w:rsidRPr="00B92006">
        <w:t xml:space="preserve">In 2018, data on 17 SOPs was extracted from </w:t>
      </w:r>
      <w:r w:rsidR="00695258">
        <w:t>10</w:t>
      </w:r>
      <w:r w:rsidR="00695258" w:rsidRPr="00B92006">
        <w:t xml:space="preserve"> </w:t>
      </w:r>
      <w:r w:rsidRPr="00B92006">
        <w:t>registers</w:t>
      </w:r>
      <w:r w:rsidR="00E91B87" w:rsidRPr="00B92006">
        <w:t xml:space="preserve"> (see</w:t>
      </w:r>
      <w:r w:rsidR="00252BD9" w:rsidRPr="00B92006">
        <w:t xml:space="preserve"> </w:t>
      </w:r>
      <w:r w:rsidR="00835B9D" w:rsidRPr="00B92006">
        <w:fldChar w:fldCharType="begin"/>
      </w:r>
      <w:r w:rsidR="00835B9D" w:rsidRPr="00B92006">
        <w:instrText xml:space="preserve"> REF _Ref8042416 \h </w:instrText>
      </w:r>
      <w:r w:rsidR="00835B9D" w:rsidRPr="00B92006">
        <w:fldChar w:fldCharType="separate"/>
      </w:r>
      <w:r w:rsidR="00835B9D" w:rsidRPr="00B92006">
        <w:t xml:space="preserve">Table </w:t>
      </w:r>
      <w:r w:rsidR="00835B9D" w:rsidRPr="00B92006">
        <w:rPr>
          <w:noProof/>
        </w:rPr>
        <w:t>1</w:t>
      </w:r>
      <w:r w:rsidR="00835B9D" w:rsidRPr="00B92006">
        <w:fldChar w:fldCharType="end"/>
      </w:r>
      <w:r w:rsidR="00E91B87" w:rsidRPr="00B92006">
        <w:t>)</w:t>
      </w:r>
      <w:r w:rsidR="00762017" w:rsidRPr="00B92006">
        <w:t xml:space="preserve">. </w:t>
      </w:r>
      <w:r w:rsidR="000208B0" w:rsidRPr="00B92006">
        <w:t xml:space="preserve">In addition, true partnership status was obtained from </w:t>
      </w:r>
      <w:r w:rsidR="00F20004">
        <w:t xml:space="preserve">the </w:t>
      </w:r>
      <w:r w:rsidR="000208B0" w:rsidRPr="00B92006">
        <w:t>Estonian Labo</w:t>
      </w:r>
      <w:r w:rsidR="00252BD9" w:rsidRPr="00B92006">
        <w:t>u</w:t>
      </w:r>
      <w:r w:rsidR="000208B0" w:rsidRPr="00B92006">
        <w:t xml:space="preserve">r Force Survey and Estonian Social Survey 2017. </w:t>
      </w:r>
      <w:r w:rsidR="00D1660B" w:rsidRPr="00B92006">
        <w:t>Altogether, there were</w:t>
      </w:r>
      <w:r w:rsidR="001D264A" w:rsidRPr="00B92006">
        <w:t xml:space="preserve"> 677,347</w:t>
      </w:r>
      <w:r w:rsidR="00D1660B" w:rsidRPr="00B92006">
        <w:t xml:space="preserve"> quasi</w:t>
      </w:r>
      <w:r w:rsidR="00625582" w:rsidRPr="00B92006">
        <w:t>-</w:t>
      </w:r>
      <w:r w:rsidR="00D1660B" w:rsidRPr="00B92006">
        <w:t>couples of non</w:t>
      </w:r>
      <w:r w:rsidR="00625582" w:rsidRPr="00B92006">
        <w:t>-</w:t>
      </w:r>
      <w:r w:rsidR="00D1660B" w:rsidRPr="00B92006">
        <w:t>relatives</w:t>
      </w:r>
      <w:r w:rsidR="00481F9E" w:rsidRPr="00B92006">
        <w:t xml:space="preserve"> consisting of 413,045 men and 440,119</w:t>
      </w:r>
      <w:r w:rsidR="000208B0" w:rsidRPr="00B92006">
        <w:t xml:space="preserve"> </w:t>
      </w:r>
      <w:r w:rsidR="00481F9E" w:rsidRPr="00B92006">
        <w:t>women. On average, women had 1.5 quasi</w:t>
      </w:r>
      <w:r w:rsidR="00625582" w:rsidRPr="00B92006">
        <w:t>-</w:t>
      </w:r>
      <w:r w:rsidR="00481F9E" w:rsidRPr="00B92006">
        <w:t xml:space="preserve">partners and men </w:t>
      </w:r>
      <w:r w:rsidR="007754C9" w:rsidRPr="00B92006">
        <w:t xml:space="preserve">had </w:t>
      </w:r>
      <w:r w:rsidR="00481F9E" w:rsidRPr="00B92006">
        <w:t>1.6.</w:t>
      </w:r>
      <w:r w:rsidR="007754C9" w:rsidRPr="00B92006">
        <w:t xml:space="preserve"> </w:t>
      </w:r>
    </w:p>
    <w:p w14:paraId="7B395FF8" w14:textId="5840788F" w:rsidR="00F7034B" w:rsidRPr="00B92006" w:rsidRDefault="007754C9" w:rsidP="00762017">
      <w:pPr>
        <w:pStyle w:val="NSMnormal"/>
      </w:pPr>
      <w:r w:rsidRPr="00B92006">
        <w:t>According to</w:t>
      </w:r>
      <w:r w:rsidR="000E18F6" w:rsidRPr="00B92006">
        <w:t xml:space="preserve"> the</w:t>
      </w:r>
      <w:r w:rsidRPr="00B92006">
        <w:t xml:space="preserve"> residency index, 93% of people were Estonian residents</w:t>
      </w:r>
      <w:r w:rsidR="00835B9D" w:rsidRPr="00B92006">
        <w:t>.</w:t>
      </w:r>
      <w:r w:rsidR="004B43B7" w:rsidRPr="00B92006">
        <w:t xml:space="preserve"> </w:t>
      </w:r>
      <w:r w:rsidR="00835B9D" w:rsidRPr="00B92006">
        <w:t>T</w:t>
      </w:r>
      <w:r w:rsidR="004B43B7" w:rsidRPr="00B92006">
        <w:t>he partnership data</w:t>
      </w:r>
      <w:r w:rsidR="00835B9D" w:rsidRPr="00B92006">
        <w:t xml:space="preserve"> included 75% of adult resident population</w:t>
      </w:r>
      <w:r w:rsidR="004B43B7" w:rsidRPr="00B92006">
        <w:t>.</w:t>
      </w:r>
      <w:r w:rsidR="00343986" w:rsidRPr="00B92006">
        <w:t xml:space="preserve"> </w:t>
      </w:r>
      <w:r w:rsidR="00FC7D3B" w:rsidRPr="00B92006">
        <w:t xml:space="preserve">The </w:t>
      </w:r>
      <w:r w:rsidR="003C75E4" w:rsidRPr="00B92006">
        <w:t xml:space="preserve">population </w:t>
      </w:r>
      <w:r w:rsidR="00FC7D3B" w:rsidRPr="00B92006">
        <w:t>coverage in partnership data varie</w:t>
      </w:r>
      <w:r w:rsidR="0085675B" w:rsidRPr="00B92006">
        <w:t>s</w:t>
      </w:r>
      <w:r w:rsidR="00FC7D3B" w:rsidRPr="00B92006">
        <w:t xml:space="preserve"> by sex and age (</w:t>
      </w:r>
      <w:r w:rsidR="00FC7D3B" w:rsidRPr="00B92006">
        <w:fldChar w:fldCharType="begin"/>
      </w:r>
      <w:r w:rsidR="00FC7D3B" w:rsidRPr="00B92006">
        <w:instrText xml:space="preserve"> REF _Ref8131917 \h  \* MERGEFORMAT </w:instrText>
      </w:r>
      <w:r w:rsidR="00FC7D3B" w:rsidRPr="00B92006">
        <w:fldChar w:fldCharType="separate"/>
      </w:r>
      <w:r w:rsidR="005C131E" w:rsidRPr="00B92006">
        <w:t>Figure 1</w:t>
      </w:r>
      <w:r w:rsidR="00FC7D3B" w:rsidRPr="00B92006">
        <w:fldChar w:fldCharType="end"/>
      </w:r>
      <w:r w:rsidR="00FC7D3B" w:rsidRPr="00B92006">
        <w:t xml:space="preserve">). </w:t>
      </w:r>
      <w:r w:rsidR="004B43B7" w:rsidRPr="00B92006">
        <w:t xml:space="preserve">The proportion of people with SOPs </w:t>
      </w:r>
      <w:r w:rsidR="0085675B" w:rsidRPr="00B92006">
        <w:t>i</w:t>
      </w:r>
      <w:r w:rsidR="004B43B7" w:rsidRPr="00B92006">
        <w:t xml:space="preserve">s low in younger age groups and grows </w:t>
      </w:r>
      <w:r w:rsidR="00F20004">
        <w:t>with age</w:t>
      </w:r>
      <w:r w:rsidR="00343986" w:rsidRPr="00B92006">
        <w:t xml:space="preserve"> as people marry, buy homes, </w:t>
      </w:r>
      <w:r w:rsidR="00343986" w:rsidRPr="00B92006">
        <w:lastRenderedPageBreak/>
        <w:t>have children etc. In older age, the proportion of people of SOPs dec</w:t>
      </w:r>
      <w:r w:rsidR="00D679E8" w:rsidRPr="00B92006">
        <w:t>reases</w:t>
      </w:r>
      <w:r w:rsidR="00343986" w:rsidRPr="00B92006">
        <w:t xml:space="preserve">.  Both rise and decline in SOPs </w:t>
      </w:r>
      <w:r w:rsidR="00466048">
        <w:t>occur</w:t>
      </w:r>
      <w:r w:rsidR="00343986" w:rsidRPr="00B92006">
        <w:t xml:space="preserve"> earlier </w:t>
      </w:r>
      <w:r w:rsidR="00466048">
        <w:t>for</w:t>
      </w:r>
      <w:r w:rsidR="00343986" w:rsidRPr="00B92006">
        <w:t xml:space="preserve"> women. </w:t>
      </w:r>
    </w:p>
    <w:p w14:paraId="6EC271B2" w14:textId="3AF2845E" w:rsidR="00040C28" w:rsidRPr="00B92006" w:rsidRDefault="00040C28" w:rsidP="00040C28">
      <w:pPr>
        <w:pStyle w:val="Caption"/>
        <w:keepNext/>
        <w:jc w:val="both"/>
        <w:rPr>
          <w:rFonts w:ascii="Arial" w:hAnsi="Arial" w:cs="Arial"/>
          <w:b/>
          <w:i w:val="0"/>
          <w:color w:val="auto"/>
          <w:sz w:val="20"/>
          <w:szCs w:val="20"/>
          <w:lang w:val="en-GB"/>
        </w:rPr>
      </w:pPr>
      <w:bookmarkStart w:id="0" w:name="_Ref8131917"/>
      <w:r w:rsidRPr="00B92006">
        <w:rPr>
          <w:rFonts w:ascii="Arial" w:hAnsi="Arial" w:cs="Arial"/>
          <w:b/>
          <w:i w:val="0"/>
          <w:color w:val="auto"/>
          <w:sz w:val="20"/>
          <w:szCs w:val="20"/>
          <w:lang w:val="en-GB"/>
        </w:rPr>
        <w:t xml:space="preserve">Figure </w:t>
      </w:r>
      <w:r w:rsidRPr="00B92006">
        <w:rPr>
          <w:rFonts w:ascii="Arial" w:hAnsi="Arial" w:cs="Arial"/>
          <w:b/>
          <w:i w:val="0"/>
          <w:color w:val="auto"/>
          <w:sz w:val="20"/>
          <w:szCs w:val="20"/>
          <w:lang w:val="en-GB"/>
        </w:rPr>
        <w:fldChar w:fldCharType="begin"/>
      </w:r>
      <w:r w:rsidRPr="00B92006">
        <w:rPr>
          <w:rFonts w:ascii="Arial" w:hAnsi="Arial" w:cs="Arial"/>
          <w:b/>
          <w:i w:val="0"/>
          <w:color w:val="auto"/>
          <w:sz w:val="20"/>
          <w:szCs w:val="20"/>
          <w:lang w:val="en-GB"/>
        </w:rPr>
        <w:instrText xml:space="preserve"> SEQ Figure \* ARABIC </w:instrText>
      </w:r>
      <w:r w:rsidRPr="00B92006">
        <w:rPr>
          <w:rFonts w:ascii="Arial" w:hAnsi="Arial" w:cs="Arial"/>
          <w:b/>
          <w:i w:val="0"/>
          <w:color w:val="auto"/>
          <w:sz w:val="20"/>
          <w:szCs w:val="20"/>
          <w:lang w:val="en-GB"/>
        </w:rPr>
        <w:fldChar w:fldCharType="separate"/>
      </w:r>
      <w:r w:rsidR="00BD5BE2" w:rsidRPr="00B92006">
        <w:rPr>
          <w:rFonts w:ascii="Arial" w:hAnsi="Arial" w:cs="Arial"/>
          <w:b/>
          <w:i w:val="0"/>
          <w:noProof/>
          <w:color w:val="auto"/>
          <w:sz w:val="20"/>
          <w:szCs w:val="20"/>
          <w:lang w:val="en-GB"/>
        </w:rPr>
        <w:t>1</w:t>
      </w:r>
      <w:r w:rsidRPr="00B92006">
        <w:rPr>
          <w:rFonts w:ascii="Arial" w:hAnsi="Arial" w:cs="Arial"/>
          <w:b/>
          <w:i w:val="0"/>
          <w:color w:val="auto"/>
          <w:sz w:val="20"/>
          <w:szCs w:val="20"/>
          <w:lang w:val="en-GB"/>
        </w:rPr>
        <w:fldChar w:fldCharType="end"/>
      </w:r>
      <w:bookmarkEnd w:id="0"/>
      <w:r w:rsidRPr="00B92006">
        <w:rPr>
          <w:rFonts w:ascii="Arial" w:hAnsi="Arial" w:cs="Arial"/>
          <w:b/>
          <w:i w:val="0"/>
          <w:color w:val="auto"/>
          <w:sz w:val="20"/>
          <w:szCs w:val="20"/>
          <w:lang w:val="en-GB"/>
        </w:rPr>
        <w:t>. Population coverage of partnership data by sex and age group</w:t>
      </w:r>
    </w:p>
    <w:p w14:paraId="6323A08F" w14:textId="5CF40049" w:rsidR="00F7034B" w:rsidRPr="00B92006" w:rsidRDefault="00F7034B" w:rsidP="00762017">
      <w:pPr>
        <w:pStyle w:val="NSMnormal"/>
      </w:pPr>
      <w:r w:rsidRPr="00B92006">
        <w:rPr>
          <w:noProof/>
          <w:lang w:val="et-EE" w:eastAsia="et-EE"/>
        </w:rPr>
        <w:drawing>
          <wp:inline distT="0" distB="0" distL="0" distR="0" wp14:anchorId="17BBC80A" wp14:editId="027BC2BD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22405E2" w14:textId="44B7F6E8" w:rsidR="001D264A" w:rsidRPr="00B92006" w:rsidRDefault="000E18F6" w:rsidP="00762017">
      <w:pPr>
        <w:pStyle w:val="NSMnormal"/>
      </w:pPr>
      <w:r w:rsidRPr="00B92006">
        <w:t xml:space="preserve">About 17% of quasi-couples, or </w:t>
      </w:r>
      <w:r w:rsidR="001D264A" w:rsidRPr="00B92006">
        <w:t>117,922</w:t>
      </w:r>
      <w:r w:rsidRPr="00B92006">
        <w:t>,</w:t>
      </w:r>
      <w:r w:rsidR="001D264A" w:rsidRPr="00B92006">
        <w:t xml:space="preserve"> contained at least one register</w:t>
      </w:r>
      <w:r w:rsidR="00625582" w:rsidRPr="00B92006">
        <w:t>-</w:t>
      </w:r>
      <w:r w:rsidR="001D264A" w:rsidRPr="00B92006">
        <w:t>based lone parent</w:t>
      </w:r>
      <w:r w:rsidR="007754C9" w:rsidRPr="00B92006">
        <w:t xml:space="preserve"> of </w:t>
      </w:r>
      <w:r w:rsidRPr="00B92006">
        <w:t xml:space="preserve">an </w:t>
      </w:r>
      <w:r w:rsidR="007754C9" w:rsidRPr="00B92006">
        <w:t>adolescent child (&lt;18 years old)</w:t>
      </w:r>
      <w:r w:rsidR="001D264A" w:rsidRPr="00B92006">
        <w:t xml:space="preserve">. </w:t>
      </w:r>
    </w:p>
    <w:p w14:paraId="38D05D77" w14:textId="4723FF9B" w:rsidR="00DF3142" w:rsidRPr="00B92006" w:rsidRDefault="001D264A" w:rsidP="00762017">
      <w:pPr>
        <w:pStyle w:val="NSMnormal"/>
      </w:pPr>
      <w:r w:rsidRPr="00B92006">
        <w:fldChar w:fldCharType="begin"/>
      </w:r>
      <w:r w:rsidRPr="00B92006">
        <w:instrText xml:space="preserve"> REF _Ref8042416 \h  \* MERGEFORMAT </w:instrText>
      </w:r>
      <w:r w:rsidRPr="00B92006">
        <w:fldChar w:fldCharType="separate"/>
      </w:r>
      <w:r w:rsidR="005C131E" w:rsidRPr="00B92006">
        <w:t>Table 1</w:t>
      </w:r>
      <w:r w:rsidRPr="00B92006">
        <w:fldChar w:fldCharType="end"/>
      </w:r>
      <w:r w:rsidRPr="00B92006">
        <w:t xml:space="preserve"> gives </w:t>
      </w:r>
      <w:r w:rsidR="009379B6">
        <w:t xml:space="preserve">an </w:t>
      </w:r>
      <w:r w:rsidRPr="00B92006">
        <w:t xml:space="preserve">overview of SOPs in 2018 partnership data. </w:t>
      </w:r>
      <w:r w:rsidR="00D1660B" w:rsidRPr="00B92006">
        <w:t>Partnership status was known for 24,453 quasi</w:t>
      </w:r>
      <w:r w:rsidR="00625582" w:rsidRPr="00B92006">
        <w:t>-</w:t>
      </w:r>
      <w:r w:rsidR="00D1660B" w:rsidRPr="00B92006">
        <w:t xml:space="preserve">couples, </w:t>
      </w:r>
      <w:r w:rsidR="009379B6">
        <w:t xml:space="preserve">one </w:t>
      </w:r>
      <w:r w:rsidR="00D1660B" w:rsidRPr="00B92006">
        <w:t xml:space="preserve">third of them were actual partners. </w:t>
      </w:r>
      <w:r w:rsidR="00DF3142" w:rsidRPr="00B92006">
        <w:t xml:space="preserve">The most prevalent SOPs </w:t>
      </w:r>
      <w:r w:rsidR="00ED19A9" w:rsidRPr="00B92006">
        <w:t>(</w:t>
      </w:r>
      <w:r w:rsidR="000E18F6" w:rsidRPr="00B92006">
        <w:t xml:space="preserve">present in over </w:t>
      </w:r>
      <w:r w:rsidR="00ED19A9" w:rsidRPr="00B92006">
        <w:t>200,000 quasi</w:t>
      </w:r>
      <w:r w:rsidR="00625582" w:rsidRPr="00B92006">
        <w:t>-</w:t>
      </w:r>
      <w:r w:rsidR="00ED19A9" w:rsidRPr="00B92006">
        <w:t>couples) we</w:t>
      </w:r>
      <w:r w:rsidR="00DF3142" w:rsidRPr="00B92006">
        <w:t>re sharing a vehicle (e.g. one quasi</w:t>
      </w:r>
      <w:r w:rsidR="00625582" w:rsidRPr="00B92006">
        <w:t>-</w:t>
      </w:r>
      <w:r w:rsidR="00DF3142" w:rsidRPr="00B92006">
        <w:t xml:space="preserve">partner is </w:t>
      </w:r>
      <w:r w:rsidR="000208B0" w:rsidRPr="00B92006">
        <w:t>a</w:t>
      </w:r>
      <w:r w:rsidR="00DF3142" w:rsidRPr="00B92006">
        <w:t xml:space="preserve"> user of </w:t>
      </w:r>
      <w:r w:rsidR="000208B0" w:rsidRPr="00B92006">
        <w:t>a</w:t>
      </w:r>
      <w:r w:rsidR="00DF3142" w:rsidRPr="00B92006">
        <w:t xml:space="preserve"> car that other quasi</w:t>
      </w:r>
      <w:r w:rsidR="00625582" w:rsidRPr="00B92006">
        <w:t>-</w:t>
      </w:r>
      <w:r w:rsidR="00DF3142" w:rsidRPr="00B92006">
        <w:t>partner owns)</w:t>
      </w:r>
      <w:r w:rsidR="000208B0" w:rsidRPr="00B92006">
        <w:t>,</w:t>
      </w:r>
      <w:r w:rsidR="00DF3142" w:rsidRPr="00B92006">
        <w:t xml:space="preserve"> sharing the place of residence</w:t>
      </w:r>
      <w:r w:rsidR="000208B0" w:rsidRPr="00B92006">
        <w:t xml:space="preserve"> in PR</w:t>
      </w:r>
      <w:r w:rsidR="00D1660B" w:rsidRPr="00B92006">
        <w:t xml:space="preserve"> and marriage. </w:t>
      </w:r>
      <w:r w:rsidR="0054256D" w:rsidRPr="00B92006">
        <w:t xml:space="preserve">The strongest predictor of partnership </w:t>
      </w:r>
      <w:r w:rsidR="00ED19A9" w:rsidRPr="00B92006">
        <w:t>wa</w:t>
      </w:r>
      <w:r w:rsidR="0054256D" w:rsidRPr="00B92006">
        <w:t>s transferring unused income tax deduction to spouse</w:t>
      </w:r>
      <w:r w:rsidR="009379B6">
        <w:t xml:space="preserve"> </w:t>
      </w:r>
      <w:r w:rsidR="007E4962">
        <w:rPr>
          <w:shd w:val="clear" w:color="auto" w:fill="FFFFFF"/>
        </w:rPr>
        <w:t>–</w:t>
      </w:r>
      <w:r w:rsidR="009379B6">
        <w:t xml:space="preserve"> </w:t>
      </w:r>
      <w:r w:rsidR="0054256D" w:rsidRPr="00B92006">
        <w:t>an option for mar</w:t>
      </w:r>
      <w:r w:rsidR="00ED19A9" w:rsidRPr="00B92006">
        <w:t xml:space="preserve">ried couples to optimize taxes. </w:t>
      </w:r>
      <w:r w:rsidR="00E54D80" w:rsidRPr="00B92006">
        <w:t>Almost all (</w:t>
      </w:r>
      <w:r w:rsidR="00ED19A9" w:rsidRPr="00B92006">
        <w:t>94%</w:t>
      </w:r>
      <w:r w:rsidR="00E54D80" w:rsidRPr="00B92006">
        <w:t>)</w:t>
      </w:r>
      <w:r w:rsidR="00ED19A9" w:rsidRPr="00B92006">
        <w:t xml:space="preserve"> quasi</w:t>
      </w:r>
      <w:r w:rsidR="00625582" w:rsidRPr="00B92006">
        <w:t>-</w:t>
      </w:r>
      <w:r w:rsidR="00ED19A9" w:rsidRPr="00B92006">
        <w:t xml:space="preserve">couples </w:t>
      </w:r>
      <w:r w:rsidR="00E54D80" w:rsidRPr="00B92006">
        <w:t xml:space="preserve">with </w:t>
      </w:r>
      <w:r w:rsidR="00ED19A9" w:rsidRPr="00B92006">
        <w:t xml:space="preserve">this SOP were actual couples. </w:t>
      </w:r>
      <w:r w:rsidR="0085675B" w:rsidRPr="00B92006">
        <w:t xml:space="preserve">Out </w:t>
      </w:r>
      <w:r w:rsidR="00D71398" w:rsidRPr="00B92006">
        <w:t>of married couples</w:t>
      </w:r>
      <w:r w:rsidR="0085675B" w:rsidRPr="00B92006">
        <w:t>,</w:t>
      </w:r>
      <w:r w:rsidR="00D71398" w:rsidRPr="00B92006">
        <w:t xml:space="preserve"> </w:t>
      </w:r>
      <w:r w:rsidR="0085675B" w:rsidRPr="00B92006">
        <w:t xml:space="preserve">90% </w:t>
      </w:r>
      <w:r w:rsidR="00D71398" w:rsidRPr="00B92006">
        <w:t>were actual partners</w:t>
      </w:r>
      <w:r w:rsidR="00E660CD" w:rsidRPr="00B92006">
        <w:t>.</w:t>
      </w:r>
      <w:r w:rsidR="00D71398" w:rsidRPr="00B92006">
        <w:t xml:space="preserve"> </w:t>
      </w:r>
      <w:r w:rsidR="009379B6">
        <w:t>Other</w:t>
      </w:r>
      <w:r w:rsidR="00B67C02" w:rsidRPr="00B92006">
        <w:t xml:space="preserve"> strong indicators of partnership were mutual housing loan (85% of quasi-couples were partners), two people co-owning real estate (84%), taking paternity leave and sharing parental benefit after childbirth (</w:t>
      </w:r>
      <w:r w:rsidR="00876FAC" w:rsidRPr="00B92006">
        <w:t>84% and 85%, respectively</w:t>
      </w:r>
      <w:r w:rsidR="00B67C02" w:rsidRPr="00B92006">
        <w:t xml:space="preserve">). </w:t>
      </w:r>
      <w:r w:rsidR="00606D94" w:rsidRPr="00B92006">
        <w:t xml:space="preserve">Most of other </w:t>
      </w:r>
      <w:r w:rsidR="0085675B" w:rsidRPr="00B92006">
        <w:t>SOPs were weaker</w:t>
      </w:r>
      <w:r w:rsidR="00606D94" w:rsidRPr="00B92006">
        <w:t xml:space="preserve"> but</w:t>
      </w:r>
      <w:r w:rsidR="0085675B" w:rsidRPr="00B92006">
        <w:t xml:space="preserve"> </w:t>
      </w:r>
      <w:r w:rsidR="00876FAC" w:rsidRPr="00B92006">
        <w:t xml:space="preserve">still positive </w:t>
      </w:r>
      <w:r w:rsidR="00606D94" w:rsidRPr="00B92006">
        <w:t>indicators of partnership</w:t>
      </w:r>
      <w:r w:rsidR="00876FAC" w:rsidRPr="00B92006">
        <w:rPr>
          <w:rStyle w:val="CommentReference"/>
          <w:rFonts w:asciiTheme="minorHAnsi" w:hAnsiTheme="minorHAnsi" w:cstheme="minorBidi"/>
        </w:rPr>
        <w:t>.</w:t>
      </w:r>
      <w:r w:rsidR="00876FAC" w:rsidRPr="00B92006">
        <w:t xml:space="preserve"> </w:t>
      </w:r>
      <w:r w:rsidR="009379B6">
        <w:t>The o</w:t>
      </w:r>
      <w:r w:rsidR="00876FAC" w:rsidRPr="00B92006">
        <w:t xml:space="preserve">nly </w:t>
      </w:r>
      <w:r w:rsidR="00606D94" w:rsidRPr="00B92006">
        <w:t xml:space="preserve">exceptions that had lower than average share of partners were paying alimony (10% were partners) and </w:t>
      </w:r>
      <w:r w:rsidR="0085675B" w:rsidRPr="00B92006">
        <w:t>d</w:t>
      </w:r>
      <w:r w:rsidR="00D71398" w:rsidRPr="00B92006">
        <w:t>ivorce</w:t>
      </w:r>
      <w:r w:rsidR="00606D94" w:rsidRPr="00B92006">
        <w:t xml:space="preserve"> (4%; 25%, if data on divorce was contradictory). </w:t>
      </w:r>
    </w:p>
    <w:p w14:paraId="289FDC8F" w14:textId="410B39F7" w:rsidR="00EB6AEB" w:rsidRPr="00B92006" w:rsidRDefault="00EB6AEB" w:rsidP="000477EA">
      <w:pPr>
        <w:pStyle w:val="NSMpealdis"/>
        <w:rPr>
          <w:i/>
        </w:rPr>
      </w:pPr>
      <w:bookmarkStart w:id="1" w:name="_Ref8042416"/>
      <w:r w:rsidRPr="00B92006">
        <w:lastRenderedPageBreak/>
        <w:t xml:space="preserve">Table </w:t>
      </w:r>
      <w:r w:rsidRPr="00B92006">
        <w:rPr>
          <w:i/>
        </w:rPr>
        <w:fldChar w:fldCharType="begin"/>
      </w:r>
      <w:r w:rsidRPr="00B92006">
        <w:instrText xml:space="preserve"> SEQ Table \* ARABIC </w:instrText>
      </w:r>
      <w:r w:rsidRPr="00B92006">
        <w:rPr>
          <w:i/>
        </w:rPr>
        <w:fldChar w:fldCharType="separate"/>
      </w:r>
      <w:r w:rsidR="00BD5BE2" w:rsidRPr="00B92006">
        <w:rPr>
          <w:noProof/>
        </w:rPr>
        <w:t>1</w:t>
      </w:r>
      <w:r w:rsidRPr="00B92006">
        <w:rPr>
          <w:i/>
        </w:rPr>
        <w:fldChar w:fldCharType="end"/>
      </w:r>
      <w:bookmarkEnd w:id="1"/>
      <w:r w:rsidRPr="00B92006">
        <w:t>. List of SOPs with data sources, prevalence and p</w:t>
      </w:r>
      <w:r w:rsidR="0085675B" w:rsidRPr="00B92006">
        <w:t>robability of partnership</w:t>
      </w:r>
      <w:r w:rsidR="00762017" w:rsidRPr="00B92006">
        <w:t xml:space="preserve"> </w:t>
      </w:r>
      <w:r w:rsidR="0085675B" w:rsidRPr="00B92006">
        <w:t>(</w:t>
      </w:r>
      <w:r w:rsidR="005B2310" w:rsidRPr="00B92006">
        <w:t>1 January</w:t>
      </w:r>
      <w:r w:rsidR="006765E2" w:rsidRPr="00B92006">
        <w:t xml:space="preserve"> </w:t>
      </w:r>
      <w:r w:rsidR="00762017" w:rsidRPr="00B92006">
        <w:t>2018</w:t>
      </w:r>
      <w:r w:rsidR="0085675B" w:rsidRPr="00B92006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1134"/>
        <w:gridCol w:w="1696"/>
      </w:tblGrid>
      <w:tr w:rsidR="00275CC5" w:rsidRPr="00B92006" w14:paraId="067C96DA" w14:textId="77777777" w:rsidTr="00D74A1B">
        <w:trPr>
          <w:tblHeader/>
        </w:trPr>
        <w:tc>
          <w:tcPr>
            <w:tcW w:w="2689" w:type="dxa"/>
            <w:vAlign w:val="center"/>
          </w:tcPr>
          <w:p w14:paraId="7651864C" w14:textId="7B3F587C" w:rsidR="00275CC5" w:rsidRPr="00B92006" w:rsidRDefault="00275CC5" w:rsidP="00275CC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Sign of partnership</w:t>
            </w:r>
          </w:p>
        </w:tc>
        <w:tc>
          <w:tcPr>
            <w:tcW w:w="3543" w:type="dxa"/>
            <w:vAlign w:val="center"/>
          </w:tcPr>
          <w:p w14:paraId="309A0EF7" w14:textId="4832974A" w:rsidR="00275CC5" w:rsidRPr="00B92006" w:rsidRDefault="00275CC5" w:rsidP="00275CC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Source</w:t>
            </w:r>
          </w:p>
        </w:tc>
        <w:tc>
          <w:tcPr>
            <w:tcW w:w="1134" w:type="dxa"/>
            <w:vAlign w:val="center"/>
          </w:tcPr>
          <w:p w14:paraId="213CEF3A" w14:textId="57E2D0AA" w:rsidR="00275CC5" w:rsidRPr="00B92006" w:rsidRDefault="00275CC5" w:rsidP="00275CC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1696" w:type="dxa"/>
            <w:vAlign w:val="center"/>
          </w:tcPr>
          <w:p w14:paraId="39B24136" w14:textId="6E521E4C" w:rsidR="00275CC5" w:rsidRPr="00B92006" w:rsidRDefault="00275CC5" w:rsidP="00275CC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Probability of partnership %</w:t>
            </w:r>
          </w:p>
        </w:tc>
      </w:tr>
      <w:tr w:rsidR="00275CC5" w:rsidRPr="00B92006" w14:paraId="7AD372BB" w14:textId="77777777" w:rsidTr="00275CC5">
        <w:tc>
          <w:tcPr>
            <w:tcW w:w="2689" w:type="dxa"/>
          </w:tcPr>
          <w:p w14:paraId="74B3E1B0" w14:textId="517C62E9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Marriage</w:t>
            </w:r>
          </w:p>
        </w:tc>
        <w:tc>
          <w:tcPr>
            <w:tcW w:w="3543" w:type="dxa"/>
          </w:tcPr>
          <w:p w14:paraId="33E61B7E" w14:textId="2BEB6B99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Population Register</w:t>
            </w:r>
          </w:p>
        </w:tc>
        <w:tc>
          <w:tcPr>
            <w:tcW w:w="1134" w:type="dxa"/>
          </w:tcPr>
          <w:p w14:paraId="1DB982AC" w14:textId="018B9617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 xml:space="preserve"> 202,736   </w:t>
            </w:r>
          </w:p>
        </w:tc>
        <w:tc>
          <w:tcPr>
            <w:tcW w:w="1696" w:type="dxa"/>
          </w:tcPr>
          <w:p w14:paraId="70D6C86A" w14:textId="6309AB19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90.1</w:t>
            </w:r>
          </w:p>
        </w:tc>
      </w:tr>
      <w:tr w:rsidR="00275CC5" w:rsidRPr="00B92006" w14:paraId="74DE8D01" w14:textId="77777777" w:rsidTr="00275CC5">
        <w:tc>
          <w:tcPr>
            <w:tcW w:w="2689" w:type="dxa"/>
          </w:tcPr>
          <w:p w14:paraId="1CE56340" w14:textId="2629A2E5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Half</w:t>
            </w:r>
            <w:r w:rsidR="00625582" w:rsidRPr="00B92006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marriage</w:t>
            </w:r>
            <w:r w:rsidR="00ED19A9" w:rsidRPr="00B92006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543" w:type="dxa"/>
          </w:tcPr>
          <w:p w14:paraId="271D56B5" w14:textId="63F39AF8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Population Register</w:t>
            </w:r>
          </w:p>
        </w:tc>
        <w:tc>
          <w:tcPr>
            <w:tcW w:w="1134" w:type="dxa"/>
          </w:tcPr>
          <w:p w14:paraId="2B942A08" w14:textId="138D06A5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 xml:space="preserve"> 1,624   </w:t>
            </w:r>
          </w:p>
        </w:tc>
        <w:tc>
          <w:tcPr>
            <w:tcW w:w="1696" w:type="dxa"/>
          </w:tcPr>
          <w:p w14:paraId="6E1D4B4C" w14:textId="2444A6A9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64.9</w:t>
            </w:r>
          </w:p>
        </w:tc>
      </w:tr>
      <w:tr w:rsidR="00275CC5" w:rsidRPr="00B92006" w14:paraId="3F77B1FF" w14:textId="77777777" w:rsidTr="00275CC5">
        <w:tc>
          <w:tcPr>
            <w:tcW w:w="2689" w:type="dxa"/>
          </w:tcPr>
          <w:p w14:paraId="18D45CDF" w14:textId="78BA5624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Declaration of income</w:t>
            </w:r>
          </w:p>
        </w:tc>
        <w:tc>
          <w:tcPr>
            <w:tcW w:w="3543" w:type="dxa"/>
          </w:tcPr>
          <w:p w14:paraId="25FB9415" w14:textId="1F879E7D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Register of Taxable Persons</w:t>
            </w:r>
          </w:p>
        </w:tc>
        <w:tc>
          <w:tcPr>
            <w:tcW w:w="1134" w:type="dxa"/>
          </w:tcPr>
          <w:p w14:paraId="3F6C9E87" w14:textId="30D7DB2E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 xml:space="preserve"> 30,602   </w:t>
            </w:r>
          </w:p>
        </w:tc>
        <w:tc>
          <w:tcPr>
            <w:tcW w:w="1696" w:type="dxa"/>
          </w:tcPr>
          <w:p w14:paraId="450A8406" w14:textId="61FC0290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94.0</w:t>
            </w:r>
          </w:p>
        </w:tc>
      </w:tr>
      <w:tr w:rsidR="00275CC5" w:rsidRPr="00B92006" w14:paraId="618B0EF0" w14:textId="77777777" w:rsidTr="00275CC5">
        <w:tc>
          <w:tcPr>
            <w:tcW w:w="2689" w:type="dxa"/>
          </w:tcPr>
          <w:p w14:paraId="6DF458FA" w14:textId="7AEE08EB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Housing loan</w:t>
            </w:r>
          </w:p>
        </w:tc>
        <w:tc>
          <w:tcPr>
            <w:tcW w:w="3543" w:type="dxa"/>
          </w:tcPr>
          <w:p w14:paraId="52066AC0" w14:textId="18D90D12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Register of Taxable Persons</w:t>
            </w:r>
          </w:p>
        </w:tc>
        <w:tc>
          <w:tcPr>
            <w:tcW w:w="1134" w:type="dxa"/>
          </w:tcPr>
          <w:p w14:paraId="5B3A325F" w14:textId="59D71C04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 xml:space="preserve"> 45,276   </w:t>
            </w:r>
          </w:p>
        </w:tc>
        <w:tc>
          <w:tcPr>
            <w:tcW w:w="1696" w:type="dxa"/>
          </w:tcPr>
          <w:p w14:paraId="62AB528E" w14:textId="2C5AB34D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85.1</w:t>
            </w:r>
          </w:p>
        </w:tc>
      </w:tr>
      <w:tr w:rsidR="00275CC5" w:rsidRPr="00B92006" w14:paraId="6E4F964E" w14:textId="77777777" w:rsidTr="00275CC5">
        <w:tc>
          <w:tcPr>
            <w:tcW w:w="2689" w:type="dxa"/>
          </w:tcPr>
          <w:p w14:paraId="2EC908F8" w14:textId="2E9D4F64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Place of residence</w:t>
            </w:r>
          </w:p>
        </w:tc>
        <w:tc>
          <w:tcPr>
            <w:tcW w:w="3543" w:type="dxa"/>
          </w:tcPr>
          <w:p w14:paraId="7169EEA1" w14:textId="63FB6E91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Population Register</w:t>
            </w:r>
          </w:p>
        </w:tc>
        <w:tc>
          <w:tcPr>
            <w:tcW w:w="1134" w:type="dxa"/>
          </w:tcPr>
          <w:p w14:paraId="07F47CD8" w14:textId="3FCD9634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 xml:space="preserve"> 275,825   </w:t>
            </w:r>
          </w:p>
        </w:tc>
        <w:tc>
          <w:tcPr>
            <w:tcW w:w="1696" w:type="dxa"/>
          </w:tcPr>
          <w:p w14:paraId="496622BD" w14:textId="4D082773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59.5</w:t>
            </w:r>
          </w:p>
        </w:tc>
      </w:tr>
      <w:tr w:rsidR="00275CC5" w:rsidRPr="00B92006" w14:paraId="6C9D58DB" w14:textId="77777777" w:rsidTr="00275CC5">
        <w:tc>
          <w:tcPr>
            <w:tcW w:w="2689" w:type="dxa"/>
          </w:tcPr>
          <w:p w14:paraId="7E4632E1" w14:textId="08EEC2D9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Real estate, up to 6 co</w:t>
            </w:r>
            <w:r w:rsidR="00625582" w:rsidRPr="00B92006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owners</w:t>
            </w:r>
          </w:p>
        </w:tc>
        <w:tc>
          <w:tcPr>
            <w:tcW w:w="3543" w:type="dxa"/>
          </w:tcPr>
          <w:p w14:paraId="661AEE60" w14:textId="06B4EFD0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Land Register</w:t>
            </w:r>
          </w:p>
        </w:tc>
        <w:tc>
          <w:tcPr>
            <w:tcW w:w="1134" w:type="dxa"/>
          </w:tcPr>
          <w:p w14:paraId="3237D6D5" w14:textId="6660BE06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 xml:space="preserve"> 96,623   </w:t>
            </w:r>
          </w:p>
        </w:tc>
        <w:tc>
          <w:tcPr>
            <w:tcW w:w="1696" w:type="dxa"/>
          </w:tcPr>
          <w:p w14:paraId="233969D2" w14:textId="2866E69D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65.7</w:t>
            </w:r>
          </w:p>
        </w:tc>
      </w:tr>
      <w:tr w:rsidR="00275CC5" w:rsidRPr="00B92006" w14:paraId="1B8AEEA8" w14:textId="77777777" w:rsidTr="00275CC5">
        <w:tc>
          <w:tcPr>
            <w:tcW w:w="2689" w:type="dxa"/>
          </w:tcPr>
          <w:p w14:paraId="6B66B2E8" w14:textId="3524EDCA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Real estate, 2 co</w:t>
            </w:r>
            <w:r w:rsidR="00625582" w:rsidRPr="00B92006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owners</w:t>
            </w:r>
          </w:p>
        </w:tc>
        <w:tc>
          <w:tcPr>
            <w:tcW w:w="3543" w:type="dxa"/>
          </w:tcPr>
          <w:p w14:paraId="5DEA571B" w14:textId="2718A63D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Land Register</w:t>
            </w:r>
          </w:p>
        </w:tc>
        <w:tc>
          <w:tcPr>
            <w:tcW w:w="1134" w:type="dxa"/>
          </w:tcPr>
          <w:p w14:paraId="021C8526" w14:textId="77AE49E6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 xml:space="preserve"> 79,573   </w:t>
            </w:r>
          </w:p>
        </w:tc>
        <w:tc>
          <w:tcPr>
            <w:tcW w:w="1696" w:type="dxa"/>
          </w:tcPr>
          <w:p w14:paraId="1B2CAA38" w14:textId="7455F14A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83.8</w:t>
            </w:r>
          </w:p>
        </w:tc>
      </w:tr>
      <w:tr w:rsidR="00275CC5" w:rsidRPr="00B92006" w14:paraId="4588C2B1" w14:textId="77777777" w:rsidTr="00275CC5">
        <w:tc>
          <w:tcPr>
            <w:tcW w:w="2689" w:type="dxa"/>
          </w:tcPr>
          <w:p w14:paraId="3BF25203" w14:textId="2016A416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Children, incl. stillbirths</w:t>
            </w:r>
          </w:p>
        </w:tc>
        <w:tc>
          <w:tcPr>
            <w:tcW w:w="3543" w:type="dxa"/>
          </w:tcPr>
          <w:p w14:paraId="5A4112A8" w14:textId="1FA1B1BE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Estonian Medical Birth Registry 2012–2017, Population Register</w:t>
            </w:r>
          </w:p>
        </w:tc>
        <w:tc>
          <w:tcPr>
            <w:tcW w:w="1134" w:type="dxa"/>
          </w:tcPr>
          <w:p w14:paraId="0D75A182" w14:textId="192C8005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 xml:space="preserve"> 167,993   </w:t>
            </w:r>
          </w:p>
        </w:tc>
        <w:tc>
          <w:tcPr>
            <w:tcW w:w="1696" w:type="dxa"/>
          </w:tcPr>
          <w:p w14:paraId="74C1AFF8" w14:textId="5B3809EB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65.4</w:t>
            </w:r>
          </w:p>
        </w:tc>
      </w:tr>
      <w:tr w:rsidR="00275CC5" w:rsidRPr="00B92006" w14:paraId="0102AD00" w14:textId="77777777" w:rsidTr="00275CC5">
        <w:tc>
          <w:tcPr>
            <w:tcW w:w="2689" w:type="dxa"/>
          </w:tcPr>
          <w:p w14:paraId="2AA1D50C" w14:textId="0FE16EDD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Paternity leave</w:t>
            </w:r>
          </w:p>
        </w:tc>
        <w:tc>
          <w:tcPr>
            <w:tcW w:w="3543" w:type="dxa"/>
          </w:tcPr>
          <w:p w14:paraId="1D76F18C" w14:textId="5666DCBD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Social Security Information System</w:t>
            </w:r>
          </w:p>
        </w:tc>
        <w:tc>
          <w:tcPr>
            <w:tcW w:w="1134" w:type="dxa"/>
          </w:tcPr>
          <w:p w14:paraId="771D4692" w14:textId="432F314D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 xml:space="preserve"> 34,676   </w:t>
            </w:r>
          </w:p>
        </w:tc>
        <w:tc>
          <w:tcPr>
            <w:tcW w:w="1696" w:type="dxa"/>
          </w:tcPr>
          <w:p w14:paraId="39295084" w14:textId="04832D5E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84.3</w:t>
            </w:r>
          </w:p>
        </w:tc>
      </w:tr>
      <w:tr w:rsidR="00275CC5" w:rsidRPr="00B92006" w14:paraId="78EA3132" w14:textId="77777777" w:rsidTr="00275CC5">
        <w:tc>
          <w:tcPr>
            <w:tcW w:w="2689" w:type="dxa"/>
          </w:tcPr>
          <w:p w14:paraId="5EB392B1" w14:textId="232A09B5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 xml:space="preserve">Care leave (caring for each other or a </w:t>
            </w:r>
            <w:r w:rsidR="0054256D" w:rsidRPr="00B92006">
              <w:rPr>
                <w:rFonts w:ascii="Arial" w:hAnsi="Arial" w:cs="Arial"/>
                <w:sz w:val="20"/>
                <w:szCs w:val="20"/>
                <w:lang w:val="en-GB"/>
              </w:rPr>
              <w:t xml:space="preserve">mutual 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third person, typically a child)</w:t>
            </w:r>
          </w:p>
        </w:tc>
        <w:tc>
          <w:tcPr>
            <w:tcW w:w="3543" w:type="dxa"/>
          </w:tcPr>
          <w:p w14:paraId="2A0F8B43" w14:textId="086D6614" w:rsidR="00275CC5" w:rsidRPr="00B92006" w:rsidRDefault="00833D50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Health Insurance</w:t>
            </w:r>
            <w:r w:rsidR="00275CC5" w:rsidRPr="00B92006">
              <w:rPr>
                <w:rFonts w:ascii="Arial" w:hAnsi="Arial" w:cs="Arial"/>
                <w:sz w:val="20"/>
                <w:szCs w:val="20"/>
                <w:lang w:val="en-GB"/>
              </w:rPr>
              <w:t xml:space="preserve"> Information System</w:t>
            </w:r>
          </w:p>
        </w:tc>
        <w:tc>
          <w:tcPr>
            <w:tcW w:w="1134" w:type="dxa"/>
          </w:tcPr>
          <w:p w14:paraId="315E4B0E" w14:textId="4E994656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 xml:space="preserve"> 15,864   </w:t>
            </w:r>
          </w:p>
        </w:tc>
        <w:tc>
          <w:tcPr>
            <w:tcW w:w="1696" w:type="dxa"/>
          </w:tcPr>
          <w:p w14:paraId="09721708" w14:textId="1BFB3065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77.0</w:t>
            </w:r>
          </w:p>
        </w:tc>
      </w:tr>
      <w:tr w:rsidR="00275CC5" w:rsidRPr="00B92006" w14:paraId="192AA159" w14:textId="77777777" w:rsidTr="00275CC5">
        <w:tc>
          <w:tcPr>
            <w:tcW w:w="2689" w:type="dxa"/>
          </w:tcPr>
          <w:p w14:paraId="4B6E3A35" w14:textId="5DA8DFDF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Shared parental benefit</w:t>
            </w:r>
          </w:p>
        </w:tc>
        <w:tc>
          <w:tcPr>
            <w:tcW w:w="3543" w:type="dxa"/>
          </w:tcPr>
          <w:p w14:paraId="5EBBE496" w14:textId="32A14574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Social Security Information System</w:t>
            </w:r>
          </w:p>
        </w:tc>
        <w:tc>
          <w:tcPr>
            <w:tcW w:w="1134" w:type="dxa"/>
          </w:tcPr>
          <w:p w14:paraId="693D2675" w14:textId="6FF24C01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 xml:space="preserve"> 7,350   </w:t>
            </w:r>
          </w:p>
        </w:tc>
        <w:tc>
          <w:tcPr>
            <w:tcW w:w="1696" w:type="dxa"/>
          </w:tcPr>
          <w:p w14:paraId="69F939C8" w14:textId="3D5AAC8A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85.2</w:t>
            </w:r>
          </w:p>
        </w:tc>
      </w:tr>
      <w:tr w:rsidR="00275CC5" w:rsidRPr="00B92006" w14:paraId="4E5ED44D" w14:textId="77777777" w:rsidTr="00275CC5">
        <w:tc>
          <w:tcPr>
            <w:tcW w:w="2689" w:type="dxa"/>
          </w:tcPr>
          <w:p w14:paraId="137C9832" w14:textId="5A99EC71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Sharing a vehicle</w:t>
            </w:r>
          </w:p>
        </w:tc>
        <w:tc>
          <w:tcPr>
            <w:tcW w:w="3543" w:type="dxa"/>
          </w:tcPr>
          <w:p w14:paraId="2DE766DE" w14:textId="5E10A1BC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Estonian Traffic Register</w:t>
            </w:r>
          </w:p>
        </w:tc>
        <w:tc>
          <w:tcPr>
            <w:tcW w:w="1134" w:type="dxa"/>
          </w:tcPr>
          <w:p w14:paraId="21622F0A" w14:textId="3F199EB6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 xml:space="preserve"> 299,947   </w:t>
            </w:r>
          </w:p>
        </w:tc>
        <w:tc>
          <w:tcPr>
            <w:tcW w:w="1696" w:type="dxa"/>
          </w:tcPr>
          <w:p w14:paraId="4EB344AF" w14:textId="54EA77CB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39.9</w:t>
            </w:r>
          </w:p>
        </w:tc>
      </w:tr>
      <w:tr w:rsidR="00275CC5" w:rsidRPr="00B92006" w14:paraId="1E4D5E1F" w14:textId="77777777" w:rsidTr="00275CC5">
        <w:tc>
          <w:tcPr>
            <w:tcW w:w="2689" w:type="dxa"/>
          </w:tcPr>
          <w:p w14:paraId="270368F0" w14:textId="2EF20428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Buying prescription drug for quasi</w:t>
            </w:r>
            <w:r w:rsidR="00625582" w:rsidRPr="00B92006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partner</w:t>
            </w:r>
          </w:p>
        </w:tc>
        <w:tc>
          <w:tcPr>
            <w:tcW w:w="3543" w:type="dxa"/>
          </w:tcPr>
          <w:p w14:paraId="48DD864B" w14:textId="5C908527" w:rsidR="00275CC5" w:rsidRPr="00B92006" w:rsidRDefault="00275CC5" w:rsidP="00094AAD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Estonian Medical Prescription Centr</w:t>
            </w:r>
            <w:r w:rsidR="009379B6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 xml:space="preserve"> 2015–2017</w:t>
            </w:r>
          </w:p>
        </w:tc>
        <w:tc>
          <w:tcPr>
            <w:tcW w:w="1134" w:type="dxa"/>
          </w:tcPr>
          <w:p w14:paraId="7575D38B" w14:textId="2D010B10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 xml:space="preserve"> 191,029   </w:t>
            </w:r>
          </w:p>
        </w:tc>
        <w:tc>
          <w:tcPr>
            <w:tcW w:w="1696" w:type="dxa"/>
          </w:tcPr>
          <w:p w14:paraId="444175B4" w14:textId="0E7C639E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57.0</w:t>
            </w:r>
          </w:p>
        </w:tc>
      </w:tr>
      <w:tr w:rsidR="00275CC5" w:rsidRPr="00B92006" w14:paraId="44A2C347" w14:textId="77777777" w:rsidTr="00275CC5">
        <w:tc>
          <w:tcPr>
            <w:tcW w:w="2689" w:type="dxa"/>
          </w:tcPr>
          <w:p w14:paraId="19209C0A" w14:textId="02E35F61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Subsistence benefit</w:t>
            </w:r>
          </w:p>
        </w:tc>
        <w:tc>
          <w:tcPr>
            <w:tcW w:w="3543" w:type="dxa"/>
          </w:tcPr>
          <w:p w14:paraId="130ED7C5" w14:textId="67CEB9DE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Social Services and Benefits Registry 2015–2017</w:t>
            </w:r>
          </w:p>
        </w:tc>
        <w:tc>
          <w:tcPr>
            <w:tcW w:w="1134" w:type="dxa"/>
          </w:tcPr>
          <w:p w14:paraId="3B785385" w14:textId="00BD6B3F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 xml:space="preserve"> 3,625   </w:t>
            </w:r>
          </w:p>
        </w:tc>
        <w:tc>
          <w:tcPr>
            <w:tcW w:w="1696" w:type="dxa"/>
          </w:tcPr>
          <w:p w14:paraId="1228DC94" w14:textId="7DC80216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75.6</w:t>
            </w:r>
          </w:p>
        </w:tc>
      </w:tr>
      <w:tr w:rsidR="00275CC5" w:rsidRPr="00B92006" w14:paraId="17D39CB8" w14:textId="77777777" w:rsidTr="00275CC5">
        <w:tc>
          <w:tcPr>
            <w:tcW w:w="2689" w:type="dxa"/>
          </w:tcPr>
          <w:p w14:paraId="332A4666" w14:textId="7D04FAA7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Divorce</w:t>
            </w:r>
          </w:p>
        </w:tc>
        <w:tc>
          <w:tcPr>
            <w:tcW w:w="3543" w:type="dxa"/>
          </w:tcPr>
          <w:p w14:paraId="77DB7518" w14:textId="4310DD5E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Population Register</w:t>
            </w:r>
          </w:p>
        </w:tc>
        <w:tc>
          <w:tcPr>
            <w:tcW w:w="1134" w:type="dxa"/>
          </w:tcPr>
          <w:p w14:paraId="392802D8" w14:textId="79092CFF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 xml:space="preserve"> 88,303   </w:t>
            </w:r>
          </w:p>
        </w:tc>
        <w:tc>
          <w:tcPr>
            <w:tcW w:w="1696" w:type="dxa"/>
          </w:tcPr>
          <w:p w14:paraId="4F01EC50" w14:textId="70102846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4.4</w:t>
            </w:r>
          </w:p>
        </w:tc>
      </w:tr>
      <w:tr w:rsidR="00275CC5" w:rsidRPr="00B92006" w14:paraId="5872D59A" w14:textId="77777777" w:rsidTr="00275CC5">
        <w:tc>
          <w:tcPr>
            <w:tcW w:w="2689" w:type="dxa"/>
          </w:tcPr>
          <w:p w14:paraId="2C3008A6" w14:textId="4286A3FA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Half</w:t>
            </w:r>
            <w:r w:rsidR="00625582" w:rsidRPr="00B92006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divorce</w:t>
            </w:r>
            <w:r w:rsidR="00ED19A9" w:rsidRPr="00B92006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543" w:type="dxa"/>
          </w:tcPr>
          <w:p w14:paraId="49C89EEC" w14:textId="2CBB9FEB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Population Register</w:t>
            </w:r>
          </w:p>
        </w:tc>
        <w:tc>
          <w:tcPr>
            <w:tcW w:w="1134" w:type="dxa"/>
          </w:tcPr>
          <w:p w14:paraId="30859CAD" w14:textId="34F2B8DD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 xml:space="preserve"> 708   </w:t>
            </w:r>
          </w:p>
        </w:tc>
        <w:tc>
          <w:tcPr>
            <w:tcW w:w="1696" w:type="dxa"/>
          </w:tcPr>
          <w:p w14:paraId="10D863A1" w14:textId="55065E78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25.0</w:t>
            </w:r>
          </w:p>
        </w:tc>
      </w:tr>
      <w:tr w:rsidR="00275CC5" w:rsidRPr="00B92006" w14:paraId="60501C34" w14:textId="77777777" w:rsidTr="00275CC5">
        <w:tc>
          <w:tcPr>
            <w:tcW w:w="2689" w:type="dxa"/>
          </w:tcPr>
          <w:p w14:paraId="4879650A" w14:textId="5F2E455F" w:rsidR="00275CC5" w:rsidRPr="00B92006" w:rsidRDefault="0087230A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Alimony</w:t>
            </w:r>
          </w:p>
        </w:tc>
        <w:tc>
          <w:tcPr>
            <w:tcW w:w="3543" w:type="dxa"/>
          </w:tcPr>
          <w:p w14:paraId="74260047" w14:textId="3262FB31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625582" w:rsidRPr="00B92006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File</w:t>
            </w:r>
          </w:p>
        </w:tc>
        <w:tc>
          <w:tcPr>
            <w:tcW w:w="1134" w:type="dxa"/>
          </w:tcPr>
          <w:p w14:paraId="70E5A737" w14:textId="4C62371A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 xml:space="preserve"> 3,507   </w:t>
            </w:r>
          </w:p>
        </w:tc>
        <w:tc>
          <w:tcPr>
            <w:tcW w:w="1696" w:type="dxa"/>
          </w:tcPr>
          <w:p w14:paraId="354CD9E6" w14:textId="6EE8AE25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9.6</w:t>
            </w:r>
          </w:p>
        </w:tc>
      </w:tr>
      <w:tr w:rsidR="00275CC5" w:rsidRPr="00B92006" w14:paraId="195A8B20" w14:textId="77777777" w:rsidTr="00275CC5">
        <w:tc>
          <w:tcPr>
            <w:tcW w:w="2689" w:type="dxa"/>
          </w:tcPr>
          <w:p w14:paraId="7C56D3F3" w14:textId="6F6DA924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Partnership status known from survey data</w:t>
            </w:r>
          </w:p>
        </w:tc>
        <w:tc>
          <w:tcPr>
            <w:tcW w:w="3543" w:type="dxa"/>
          </w:tcPr>
          <w:p w14:paraId="2A0E020C" w14:textId="797256D3" w:rsidR="00275CC5" w:rsidRPr="00B92006" w:rsidRDefault="00275CC5" w:rsidP="00275CC5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Estonian Labo</w:t>
            </w:r>
            <w:r w:rsidR="009379B6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r Force Survey 2017, Estonian Social Survey 2017</w:t>
            </w:r>
          </w:p>
        </w:tc>
        <w:tc>
          <w:tcPr>
            <w:tcW w:w="1134" w:type="dxa"/>
          </w:tcPr>
          <w:p w14:paraId="76714812" w14:textId="32222641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 xml:space="preserve"> 24,453   </w:t>
            </w:r>
          </w:p>
        </w:tc>
        <w:tc>
          <w:tcPr>
            <w:tcW w:w="1696" w:type="dxa"/>
          </w:tcPr>
          <w:p w14:paraId="72E6BFD7" w14:textId="63225963" w:rsidR="00275CC5" w:rsidRPr="00B92006" w:rsidRDefault="00275CC5" w:rsidP="00275CC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32.1</w:t>
            </w:r>
          </w:p>
        </w:tc>
      </w:tr>
    </w:tbl>
    <w:p w14:paraId="4222B249" w14:textId="7A462E81" w:rsidR="00275CC5" w:rsidRPr="00B92006" w:rsidRDefault="00ED19A9" w:rsidP="00ED19A9">
      <w:pPr>
        <w:pStyle w:val="NSMnormal"/>
      </w:pPr>
      <w:r w:rsidRPr="00B92006">
        <w:t xml:space="preserve">* </w:t>
      </w:r>
      <w:r w:rsidRPr="00B92006">
        <w:rPr>
          <w:sz w:val="20"/>
          <w:szCs w:val="20"/>
        </w:rPr>
        <w:t>Half</w:t>
      </w:r>
      <w:r w:rsidR="00625582" w:rsidRPr="00B92006">
        <w:rPr>
          <w:sz w:val="20"/>
          <w:szCs w:val="20"/>
        </w:rPr>
        <w:t>-</w:t>
      </w:r>
      <w:r w:rsidRPr="00B92006">
        <w:rPr>
          <w:sz w:val="20"/>
          <w:szCs w:val="20"/>
        </w:rPr>
        <w:t>marriage and half</w:t>
      </w:r>
      <w:r w:rsidR="00625582" w:rsidRPr="00B92006">
        <w:rPr>
          <w:sz w:val="20"/>
          <w:szCs w:val="20"/>
        </w:rPr>
        <w:t>-</w:t>
      </w:r>
      <w:r w:rsidRPr="00B92006">
        <w:rPr>
          <w:sz w:val="20"/>
          <w:szCs w:val="20"/>
        </w:rPr>
        <w:t xml:space="preserve">divorce represent inconsistent cases of PR, e.g. person is </w:t>
      </w:r>
      <w:r w:rsidR="003A4CAB" w:rsidRPr="00B92006">
        <w:rPr>
          <w:sz w:val="20"/>
          <w:szCs w:val="20"/>
        </w:rPr>
        <w:t xml:space="preserve">a </w:t>
      </w:r>
      <w:r w:rsidRPr="00B92006">
        <w:rPr>
          <w:sz w:val="20"/>
          <w:szCs w:val="20"/>
        </w:rPr>
        <w:t>husband for multiple wives.</w:t>
      </w:r>
    </w:p>
    <w:p w14:paraId="1F5A303C" w14:textId="32CC808B" w:rsidR="00B171AC" w:rsidRPr="00B92006" w:rsidRDefault="00B171AC" w:rsidP="005D44F8">
      <w:pPr>
        <w:pStyle w:val="NSMnormal"/>
      </w:pPr>
      <w:r w:rsidRPr="00B92006">
        <w:lastRenderedPageBreak/>
        <w:t>To classify quasi</w:t>
      </w:r>
      <w:r w:rsidR="00625582" w:rsidRPr="00B92006">
        <w:t>-</w:t>
      </w:r>
      <w:r w:rsidRPr="00B92006">
        <w:t>couples into partners and non</w:t>
      </w:r>
      <w:r w:rsidR="00625582" w:rsidRPr="00B92006">
        <w:t>-</w:t>
      </w:r>
      <w:r w:rsidRPr="00B92006">
        <w:t>partners, multiple logistic regression was used (</w:t>
      </w:r>
      <w:r w:rsidR="00155B24" w:rsidRPr="00B92006">
        <w:rPr>
          <w:highlight w:val="yellow"/>
        </w:rPr>
        <w:fldChar w:fldCharType="begin"/>
      </w:r>
      <w:r w:rsidR="00155B24" w:rsidRPr="00B92006">
        <w:instrText xml:space="preserve"> REF _Ref8822578 \h </w:instrText>
      </w:r>
      <w:r w:rsidR="00155B24" w:rsidRPr="00B92006">
        <w:rPr>
          <w:highlight w:val="yellow"/>
        </w:rPr>
      </w:r>
      <w:r w:rsidR="00155B24" w:rsidRPr="00B92006">
        <w:rPr>
          <w:highlight w:val="yellow"/>
        </w:rPr>
        <w:fldChar w:fldCharType="separate"/>
      </w:r>
      <w:r w:rsidR="00BD5BE2" w:rsidRPr="00B92006">
        <w:t xml:space="preserve">Table </w:t>
      </w:r>
      <w:r w:rsidR="00BD5BE2" w:rsidRPr="00B92006">
        <w:rPr>
          <w:noProof/>
        </w:rPr>
        <w:t>2</w:t>
      </w:r>
      <w:r w:rsidR="00155B24" w:rsidRPr="00B92006">
        <w:rPr>
          <w:highlight w:val="yellow"/>
        </w:rPr>
        <w:fldChar w:fldCharType="end"/>
      </w:r>
      <w:r w:rsidRPr="00B92006">
        <w:t>). Covariates included SOPs and additional time</w:t>
      </w:r>
      <w:r w:rsidR="00625582" w:rsidRPr="00B92006">
        <w:t>-</w:t>
      </w:r>
      <w:r w:rsidR="000A635C" w:rsidRPr="00B92006">
        <w:t>related variables.</w:t>
      </w:r>
    </w:p>
    <w:p w14:paraId="6B41FB0F" w14:textId="2115738E" w:rsidR="00D877A9" w:rsidRPr="00B92006" w:rsidRDefault="00B171AC" w:rsidP="00B171AC">
      <w:pPr>
        <w:pStyle w:val="NSMnormal"/>
        <w:numPr>
          <w:ilvl w:val="0"/>
          <w:numId w:val="5"/>
        </w:numPr>
      </w:pPr>
      <w:r w:rsidRPr="00B92006">
        <w:rPr>
          <w:i/>
        </w:rPr>
        <w:t>Penalty for improbable age differences.</w:t>
      </w:r>
      <w:r w:rsidRPr="00B92006">
        <w:t xml:space="preserve"> In general, spouses</w:t>
      </w:r>
      <w:r w:rsidR="00BE04A2" w:rsidRPr="00B92006">
        <w:t xml:space="preserve"> have similar ages. Large gap in ages suggest</w:t>
      </w:r>
      <w:r w:rsidR="00707A9D" w:rsidRPr="00B92006">
        <w:t>s that partnership is unlikely.</w:t>
      </w:r>
      <w:r w:rsidR="00326C33" w:rsidRPr="00B92006">
        <w:t xml:space="preserve"> </w:t>
      </w:r>
      <w:r w:rsidR="004F270D" w:rsidRPr="00B92006">
        <w:t xml:space="preserve">Penalty is applied if man is older than woman by more than 20 years or woman is older than man by more than 15 years. Only 0.5% of </w:t>
      </w:r>
      <w:r w:rsidR="000F6E68">
        <w:t xml:space="preserve">the </w:t>
      </w:r>
      <w:r w:rsidR="004F270D" w:rsidRPr="00B92006">
        <w:t>survey couples exceeded these limits.</w:t>
      </w:r>
    </w:p>
    <w:p w14:paraId="3BD16B73" w14:textId="1C77085C" w:rsidR="005D44F8" w:rsidRDefault="00B171AC" w:rsidP="00C44428">
      <w:pPr>
        <w:pStyle w:val="NSMnormal"/>
        <w:numPr>
          <w:ilvl w:val="0"/>
          <w:numId w:val="5"/>
        </w:numPr>
        <w:spacing w:after="120"/>
        <w:ind w:left="714" w:hanging="357"/>
      </w:pPr>
      <w:r w:rsidRPr="00B92006">
        <w:rPr>
          <w:i/>
        </w:rPr>
        <w:t>Time since last event</w:t>
      </w:r>
      <w:r w:rsidR="00BE04A2" w:rsidRPr="00B92006">
        <w:rPr>
          <w:i/>
        </w:rPr>
        <w:t>.</w:t>
      </w:r>
      <w:r w:rsidR="00BE04A2" w:rsidRPr="00B92006">
        <w:t xml:space="preserve"> Some SOPs convey information </w:t>
      </w:r>
      <w:r w:rsidR="00FE3CC6" w:rsidRPr="00B92006">
        <w:t xml:space="preserve">on time: children </w:t>
      </w:r>
      <w:r w:rsidR="00A43925" w:rsidRPr="00B92006">
        <w:t>are born</w:t>
      </w:r>
      <w:r w:rsidR="00FE3CC6" w:rsidRPr="00B92006">
        <w:t xml:space="preserve">, prescription drugs are bought and court decision on </w:t>
      </w:r>
      <w:r w:rsidR="0087230A" w:rsidRPr="00B92006">
        <w:t xml:space="preserve">alimony </w:t>
      </w:r>
      <w:r w:rsidR="00FE3CC6" w:rsidRPr="00B92006">
        <w:t>are made on known dates</w:t>
      </w:r>
      <w:r w:rsidR="00BE04A2" w:rsidRPr="00B92006">
        <w:t>. It is natural to assume that recent</w:t>
      </w:r>
      <w:r w:rsidR="00FE3CC6" w:rsidRPr="00B92006">
        <w:t xml:space="preserve"> events</w:t>
      </w:r>
      <w:r w:rsidR="00BE04A2" w:rsidRPr="00B92006">
        <w:t xml:space="preserve"> are more relevant when deciding on partnership status. </w:t>
      </w:r>
      <w:r w:rsidR="00D877A9" w:rsidRPr="00B92006">
        <w:t xml:space="preserve">For example, in survey data, among parents with youngest child aged two, 88% were partners, whereas only 50% of parents of 12-year-olds were still together. </w:t>
      </w:r>
      <w:r w:rsidR="00FE3CC6" w:rsidRPr="00B92006">
        <w:t xml:space="preserve">Events </w:t>
      </w:r>
      <w:r w:rsidR="001F50F5" w:rsidRPr="00B92006">
        <w:t xml:space="preserve">that </w:t>
      </w:r>
      <w:r w:rsidR="00FE3CC6" w:rsidRPr="00B92006">
        <w:t>increas</w:t>
      </w:r>
      <w:r w:rsidR="001F50F5" w:rsidRPr="00B92006">
        <w:t>e</w:t>
      </w:r>
      <w:r w:rsidR="00FE3CC6" w:rsidRPr="00B92006">
        <w:t xml:space="preserve"> </w:t>
      </w:r>
      <w:r w:rsidR="001F50F5" w:rsidRPr="00B92006">
        <w:t xml:space="preserve">probability of partnership (e.g. marriage, </w:t>
      </w:r>
      <w:r w:rsidR="00467E8F" w:rsidRPr="00B92006">
        <w:t>paternity leave</w:t>
      </w:r>
      <w:r w:rsidR="001F50F5" w:rsidRPr="00B92006">
        <w:t xml:space="preserve">) </w:t>
      </w:r>
      <w:r w:rsidR="00FE3CC6" w:rsidRPr="00B92006">
        <w:t>and decreas</w:t>
      </w:r>
      <w:r w:rsidR="000F6E68">
        <w:t>e</w:t>
      </w:r>
      <w:r w:rsidR="00FE3CC6" w:rsidRPr="00B92006">
        <w:t xml:space="preserve"> </w:t>
      </w:r>
      <w:r w:rsidR="001F50F5" w:rsidRPr="00B92006">
        <w:t xml:space="preserve">it (divorce, alimony) </w:t>
      </w:r>
      <w:r w:rsidR="00FE3CC6" w:rsidRPr="00B92006">
        <w:t>are handled separately.</w:t>
      </w:r>
      <w:r w:rsidR="00EF11E1" w:rsidRPr="00B92006">
        <w:t xml:space="preserve"> In the model, geometrical relationship 0.9</w:t>
      </w:r>
      <w:r w:rsidR="00EF11E1" w:rsidRPr="00B92006">
        <w:rPr>
          <w:i/>
          <w:vertAlign w:val="superscript"/>
        </w:rPr>
        <w:t>Y</w:t>
      </w:r>
      <w:r w:rsidR="00EF11E1" w:rsidRPr="00B92006">
        <w:t xml:space="preserve"> is used, where </w:t>
      </w:r>
      <w:r w:rsidR="00EF11E1" w:rsidRPr="00B92006">
        <w:rPr>
          <w:i/>
        </w:rPr>
        <w:t>Y</w:t>
      </w:r>
      <w:r w:rsidR="00EF11E1" w:rsidRPr="00B92006">
        <w:t xml:space="preserve"> stands for time between most recent event and census moment.</w:t>
      </w:r>
    </w:p>
    <w:p w14:paraId="45CA9207" w14:textId="0748A629" w:rsidR="00155B24" w:rsidRPr="00B92006" w:rsidRDefault="00155B24" w:rsidP="00155B24">
      <w:pPr>
        <w:pStyle w:val="NSMpealdis"/>
      </w:pPr>
      <w:bookmarkStart w:id="2" w:name="_Ref8822578"/>
      <w:r w:rsidRPr="00B92006">
        <w:t xml:space="preserve">Table </w:t>
      </w:r>
      <w:r w:rsidRPr="00B92006">
        <w:fldChar w:fldCharType="begin"/>
      </w:r>
      <w:r w:rsidRPr="00B92006">
        <w:instrText xml:space="preserve"> SEQ Table \* ARABIC </w:instrText>
      </w:r>
      <w:r w:rsidRPr="00B92006">
        <w:fldChar w:fldCharType="separate"/>
      </w:r>
      <w:r w:rsidR="00BD5BE2" w:rsidRPr="00B92006">
        <w:rPr>
          <w:noProof/>
        </w:rPr>
        <w:t>2</w:t>
      </w:r>
      <w:r w:rsidRPr="00B92006">
        <w:fldChar w:fldCharType="end"/>
      </w:r>
      <w:bookmarkEnd w:id="2"/>
      <w:r w:rsidRPr="00B92006">
        <w:t>. Coefficients of logistical regression model for partnership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705"/>
        <w:gridCol w:w="2266"/>
      </w:tblGrid>
      <w:tr w:rsidR="000A635C" w:rsidRPr="00B92006" w14:paraId="21FD9F68" w14:textId="77777777" w:rsidTr="000A635C">
        <w:trPr>
          <w:tblHeader/>
        </w:trPr>
        <w:tc>
          <w:tcPr>
            <w:tcW w:w="4390" w:type="dxa"/>
            <w:vAlign w:val="center"/>
          </w:tcPr>
          <w:p w14:paraId="785E06E4" w14:textId="77579A2F" w:rsidR="000A635C" w:rsidRPr="00B92006" w:rsidRDefault="000A635C" w:rsidP="006837F6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Covariate</w:t>
            </w:r>
          </w:p>
        </w:tc>
        <w:tc>
          <w:tcPr>
            <w:tcW w:w="2406" w:type="dxa"/>
            <w:gridSpan w:val="2"/>
            <w:vAlign w:val="center"/>
          </w:tcPr>
          <w:p w14:paraId="61A55BB8" w14:textId="0692BAA5" w:rsidR="000A635C" w:rsidRPr="00B92006" w:rsidRDefault="000A635C" w:rsidP="006837F6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Regression coefficient (log-odds)</w:t>
            </w:r>
            <w:r w:rsidRPr="00B92006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§</w:t>
            </w:r>
          </w:p>
        </w:tc>
        <w:tc>
          <w:tcPr>
            <w:tcW w:w="2266" w:type="dxa"/>
            <w:vAlign w:val="center"/>
          </w:tcPr>
          <w:p w14:paraId="1FBC9DC7" w14:textId="2EF49BB7" w:rsidR="000A635C" w:rsidRPr="00B92006" w:rsidRDefault="000A635C" w:rsidP="006837F6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(95% confidence interval)</w:t>
            </w:r>
          </w:p>
        </w:tc>
      </w:tr>
      <w:tr w:rsidR="006837F6" w:rsidRPr="00B92006" w14:paraId="6185D29D" w14:textId="77777777" w:rsidTr="00D74A1B">
        <w:tc>
          <w:tcPr>
            <w:tcW w:w="4390" w:type="dxa"/>
          </w:tcPr>
          <w:p w14:paraId="19D91088" w14:textId="79068309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375BEA47" w14:textId="1E4FD533" w:rsidR="006837F6" w:rsidRPr="00B92006" w:rsidRDefault="00123497" w:rsidP="00B7044B">
            <w:pPr>
              <w:spacing w:before="120" w:line="360" w:lineRule="auto"/>
              <w:ind w:right="-108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−</w:t>
            </w:r>
            <w:r w:rsidR="006837F6" w:rsidRPr="00B92006"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  <w:r w:rsidR="005C630E" w:rsidRPr="00B92006">
              <w:rPr>
                <w:rFonts w:ascii="Arial" w:hAnsi="Arial" w:cs="Arial"/>
                <w:sz w:val="20"/>
                <w:szCs w:val="20"/>
                <w:lang w:val="en-GB"/>
              </w:rPr>
              <w:t>90</w:t>
            </w:r>
          </w:p>
        </w:tc>
        <w:tc>
          <w:tcPr>
            <w:tcW w:w="705" w:type="dxa"/>
            <w:tcBorders>
              <w:left w:val="single" w:sz="4" w:space="0" w:color="FFFFFF" w:themeColor="background1"/>
            </w:tcBorders>
          </w:tcPr>
          <w:p w14:paraId="5C377A76" w14:textId="73A1EE4B" w:rsidR="006837F6" w:rsidRPr="00B92006" w:rsidRDefault="006837F6" w:rsidP="00D74A1B">
            <w:pPr>
              <w:spacing w:before="120" w:line="360" w:lineRule="auto"/>
              <w:ind w:left="-108" w:firstLine="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  <w:tc>
          <w:tcPr>
            <w:tcW w:w="2266" w:type="dxa"/>
          </w:tcPr>
          <w:p w14:paraId="5761E472" w14:textId="2B03FF0E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123497" w:rsidRPr="00B92006">
              <w:rPr>
                <w:rFonts w:ascii="Arial" w:hAnsi="Arial" w:cs="Arial"/>
                <w:sz w:val="20"/>
                <w:szCs w:val="20"/>
                <w:lang w:val="en-GB"/>
              </w:rPr>
              <w:t>−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 xml:space="preserve">3.99; </w:t>
            </w:r>
            <w:r w:rsidR="00123497" w:rsidRPr="00B92006">
              <w:rPr>
                <w:rFonts w:ascii="Arial" w:hAnsi="Arial" w:cs="Arial"/>
                <w:sz w:val="20"/>
                <w:szCs w:val="20"/>
                <w:lang w:val="en-GB"/>
              </w:rPr>
              <w:t>−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3.8</w:t>
            </w:r>
            <w:r w:rsidR="005C630E" w:rsidRPr="00B92006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6837F6" w:rsidRPr="00B92006" w14:paraId="12A70801" w14:textId="77777777" w:rsidTr="00D74A1B">
        <w:tc>
          <w:tcPr>
            <w:tcW w:w="4390" w:type="dxa"/>
          </w:tcPr>
          <w:p w14:paraId="65EDABC5" w14:textId="2347C264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Marriage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69E3A37E" w14:textId="458B4FCF" w:rsidR="006837F6" w:rsidRPr="00B92006" w:rsidRDefault="006837F6" w:rsidP="00B7044B">
            <w:pPr>
              <w:spacing w:before="120" w:line="360" w:lineRule="auto"/>
              <w:ind w:right="-108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  <w:r w:rsidR="005C630E" w:rsidRPr="00B92006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705" w:type="dxa"/>
            <w:tcBorders>
              <w:left w:val="single" w:sz="4" w:space="0" w:color="FFFFFF" w:themeColor="background1"/>
            </w:tcBorders>
          </w:tcPr>
          <w:p w14:paraId="5D040D6F" w14:textId="263FA583" w:rsidR="006837F6" w:rsidRPr="00B92006" w:rsidRDefault="006837F6" w:rsidP="00D74A1B">
            <w:pPr>
              <w:spacing w:before="120" w:line="360" w:lineRule="auto"/>
              <w:ind w:left="-108" w:firstLine="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  <w:tc>
          <w:tcPr>
            <w:tcW w:w="2266" w:type="dxa"/>
          </w:tcPr>
          <w:p w14:paraId="7F845468" w14:textId="206A6FB6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(2.98; 3.22)</w:t>
            </w:r>
          </w:p>
        </w:tc>
      </w:tr>
      <w:tr w:rsidR="006837F6" w:rsidRPr="00B92006" w14:paraId="252E3120" w14:textId="77777777" w:rsidTr="00D74A1B">
        <w:tc>
          <w:tcPr>
            <w:tcW w:w="4390" w:type="dxa"/>
          </w:tcPr>
          <w:p w14:paraId="2CEAC955" w14:textId="5BE090F5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Half</w:t>
            </w:r>
            <w:r w:rsidR="00625582" w:rsidRPr="00B92006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marriage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463A99D8" w14:textId="41AA234D" w:rsidR="006837F6" w:rsidRPr="00B92006" w:rsidRDefault="006837F6" w:rsidP="00D74A1B">
            <w:pPr>
              <w:spacing w:before="120" w:line="360" w:lineRule="auto"/>
              <w:ind w:right="-108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2.06</w:t>
            </w:r>
          </w:p>
        </w:tc>
        <w:tc>
          <w:tcPr>
            <w:tcW w:w="705" w:type="dxa"/>
            <w:tcBorders>
              <w:left w:val="single" w:sz="4" w:space="0" w:color="FFFFFF" w:themeColor="background1"/>
            </w:tcBorders>
          </w:tcPr>
          <w:p w14:paraId="512CD6BF" w14:textId="37192959" w:rsidR="006837F6" w:rsidRPr="00B92006" w:rsidRDefault="006837F6" w:rsidP="00D74A1B">
            <w:pPr>
              <w:spacing w:before="120" w:line="360" w:lineRule="auto"/>
              <w:ind w:left="-108" w:firstLine="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  <w:tc>
          <w:tcPr>
            <w:tcW w:w="2266" w:type="dxa"/>
          </w:tcPr>
          <w:p w14:paraId="40375114" w14:textId="5B541625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(1.12; 3.03)</w:t>
            </w:r>
          </w:p>
        </w:tc>
      </w:tr>
      <w:tr w:rsidR="006837F6" w:rsidRPr="00B92006" w14:paraId="0475EC18" w14:textId="77777777" w:rsidTr="00D74A1B">
        <w:tc>
          <w:tcPr>
            <w:tcW w:w="4390" w:type="dxa"/>
          </w:tcPr>
          <w:p w14:paraId="781F6FB0" w14:textId="43E268FA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Declaration of income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690CB5AF" w14:textId="146378C0" w:rsidR="006837F6" w:rsidRPr="00B92006" w:rsidRDefault="00123497" w:rsidP="00D74A1B">
            <w:pPr>
              <w:spacing w:before="120" w:line="360" w:lineRule="auto"/>
              <w:ind w:right="-108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−</w:t>
            </w:r>
            <w:r w:rsidR="006837F6" w:rsidRPr="00B92006">
              <w:rPr>
                <w:rFonts w:ascii="Arial" w:hAnsi="Arial" w:cs="Arial"/>
                <w:sz w:val="20"/>
                <w:szCs w:val="20"/>
                <w:lang w:val="en-GB"/>
              </w:rPr>
              <w:t>0.44</w:t>
            </w:r>
          </w:p>
        </w:tc>
        <w:tc>
          <w:tcPr>
            <w:tcW w:w="705" w:type="dxa"/>
            <w:tcBorders>
              <w:left w:val="single" w:sz="4" w:space="0" w:color="FFFFFF" w:themeColor="background1"/>
            </w:tcBorders>
          </w:tcPr>
          <w:p w14:paraId="27A2F96E" w14:textId="7D801818" w:rsidR="006837F6" w:rsidRPr="00B92006" w:rsidRDefault="006837F6" w:rsidP="00D74A1B">
            <w:pPr>
              <w:spacing w:before="120" w:line="360" w:lineRule="auto"/>
              <w:ind w:left="-108" w:firstLine="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2266" w:type="dxa"/>
          </w:tcPr>
          <w:p w14:paraId="3247B84B" w14:textId="5F8D8575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123497" w:rsidRPr="00B92006">
              <w:rPr>
                <w:rFonts w:ascii="Arial" w:hAnsi="Arial" w:cs="Arial"/>
                <w:sz w:val="20"/>
                <w:szCs w:val="20"/>
                <w:lang w:val="en-GB"/>
              </w:rPr>
              <w:t>−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 xml:space="preserve">0.81; </w:t>
            </w:r>
            <w:r w:rsidR="00123497" w:rsidRPr="00B92006">
              <w:rPr>
                <w:rFonts w:ascii="Arial" w:hAnsi="Arial" w:cs="Arial"/>
                <w:sz w:val="20"/>
                <w:szCs w:val="20"/>
                <w:lang w:val="en-GB"/>
              </w:rPr>
              <w:t>−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0.05)</w:t>
            </w:r>
          </w:p>
        </w:tc>
      </w:tr>
      <w:tr w:rsidR="006837F6" w:rsidRPr="00B92006" w14:paraId="6118001D" w14:textId="77777777" w:rsidTr="00D74A1B">
        <w:tc>
          <w:tcPr>
            <w:tcW w:w="4390" w:type="dxa"/>
          </w:tcPr>
          <w:p w14:paraId="3AEEF5D6" w14:textId="66D94485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Housing loan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7C59F784" w14:textId="38269B8D" w:rsidR="006837F6" w:rsidRPr="00B92006" w:rsidRDefault="006837F6" w:rsidP="00D74A1B">
            <w:pPr>
              <w:spacing w:before="120" w:line="360" w:lineRule="auto"/>
              <w:ind w:right="-108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0.39</w:t>
            </w:r>
          </w:p>
        </w:tc>
        <w:tc>
          <w:tcPr>
            <w:tcW w:w="705" w:type="dxa"/>
            <w:tcBorders>
              <w:left w:val="single" w:sz="4" w:space="0" w:color="FFFFFF" w:themeColor="background1"/>
            </w:tcBorders>
          </w:tcPr>
          <w:p w14:paraId="22798EEC" w14:textId="3C2A4604" w:rsidR="006837F6" w:rsidRPr="00B92006" w:rsidRDefault="006837F6" w:rsidP="00D74A1B">
            <w:pPr>
              <w:spacing w:before="120" w:line="360" w:lineRule="auto"/>
              <w:ind w:left="-108" w:firstLine="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  <w:tc>
          <w:tcPr>
            <w:tcW w:w="2266" w:type="dxa"/>
          </w:tcPr>
          <w:p w14:paraId="2C6CB2E7" w14:textId="535C88E3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(0.1</w:t>
            </w:r>
            <w:r w:rsidR="005C630E" w:rsidRPr="00B92006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; 0.68)</w:t>
            </w:r>
          </w:p>
        </w:tc>
      </w:tr>
      <w:tr w:rsidR="006837F6" w:rsidRPr="00B92006" w14:paraId="3201347C" w14:textId="77777777" w:rsidTr="00D74A1B">
        <w:tc>
          <w:tcPr>
            <w:tcW w:w="4390" w:type="dxa"/>
          </w:tcPr>
          <w:p w14:paraId="70C93B37" w14:textId="1ACC2D58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Subsistence benefit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72F18F49" w14:textId="4D235177" w:rsidR="006837F6" w:rsidRPr="00B92006" w:rsidRDefault="006837F6" w:rsidP="00B7044B">
            <w:pPr>
              <w:spacing w:before="120" w:line="360" w:lineRule="auto"/>
              <w:ind w:right="-108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  <w:r w:rsidR="005C630E" w:rsidRPr="00B92006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705" w:type="dxa"/>
            <w:tcBorders>
              <w:left w:val="single" w:sz="4" w:space="0" w:color="FFFFFF" w:themeColor="background1"/>
            </w:tcBorders>
          </w:tcPr>
          <w:p w14:paraId="3812C959" w14:textId="259BC53E" w:rsidR="006837F6" w:rsidRPr="00B92006" w:rsidRDefault="006837F6" w:rsidP="00D74A1B">
            <w:pPr>
              <w:spacing w:before="120" w:line="360" w:lineRule="auto"/>
              <w:ind w:left="-108" w:firstLine="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  <w:tc>
          <w:tcPr>
            <w:tcW w:w="2266" w:type="dxa"/>
          </w:tcPr>
          <w:p w14:paraId="43C32F7A" w14:textId="403428DF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(0.55; 1.67)</w:t>
            </w:r>
          </w:p>
        </w:tc>
      </w:tr>
      <w:tr w:rsidR="006837F6" w:rsidRPr="00B92006" w14:paraId="0AC9EDCF" w14:textId="77777777" w:rsidTr="00D74A1B">
        <w:tc>
          <w:tcPr>
            <w:tcW w:w="4390" w:type="dxa"/>
          </w:tcPr>
          <w:p w14:paraId="734758BA" w14:textId="34F8F299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Real estate, 2 co</w:t>
            </w:r>
            <w:r w:rsidR="00625582" w:rsidRPr="00B92006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owners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1323D60D" w14:textId="18F4B6E0" w:rsidR="006837F6" w:rsidRPr="00B92006" w:rsidRDefault="006837F6" w:rsidP="00D74A1B">
            <w:pPr>
              <w:spacing w:before="120" w:line="360" w:lineRule="auto"/>
              <w:ind w:right="-108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0.96</w:t>
            </w:r>
          </w:p>
        </w:tc>
        <w:tc>
          <w:tcPr>
            <w:tcW w:w="705" w:type="dxa"/>
            <w:tcBorders>
              <w:left w:val="single" w:sz="4" w:space="0" w:color="FFFFFF" w:themeColor="background1"/>
            </w:tcBorders>
          </w:tcPr>
          <w:p w14:paraId="60D77B93" w14:textId="7F185F67" w:rsidR="006837F6" w:rsidRPr="00B92006" w:rsidRDefault="006837F6" w:rsidP="00D74A1B">
            <w:pPr>
              <w:spacing w:before="120" w:line="360" w:lineRule="auto"/>
              <w:ind w:left="-108" w:firstLine="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  <w:tc>
          <w:tcPr>
            <w:tcW w:w="2266" w:type="dxa"/>
          </w:tcPr>
          <w:p w14:paraId="45ACA1D9" w14:textId="6510DCD0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(0.74; 1.18)</w:t>
            </w:r>
          </w:p>
        </w:tc>
      </w:tr>
      <w:tr w:rsidR="006837F6" w:rsidRPr="00B92006" w14:paraId="71684CA3" w14:textId="77777777" w:rsidTr="00D74A1B">
        <w:tc>
          <w:tcPr>
            <w:tcW w:w="4390" w:type="dxa"/>
          </w:tcPr>
          <w:p w14:paraId="7FB4C7DB" w14:textId="52F41511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Place of residence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55641C76" w14:textId="05C1CE1F" w:rsidR="006837F6" w:rsidRPr="00B92006" w:rsidRDefault="006837F6" w:rsidP="00B7044B">
            <w:pPr>
              <w:spacing w:before="120" w:line="360" w:lineRule="auto"/>
              <w:ind w:right="-108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  <w:r w:rsidR="005C630E" w:rsidRPr="00B92006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705" w:type="dxa"/>
            <w:tcBorders>
              <w:left w:val="single" w:sz="4" w:space="0" w:color="FFFFFF" w:themeColor="background1"/>
            </w:tcBorders>
          </w:tcPr>
          <w:p w14:paraId="7CA4B71A" w14:textId="230F5E47" w:rsidR="006837F6" w:rsidRPr="00B92006" w:rsidRDefault="006837F6" w:rsidP="00D74A1B">
            <w:pPr>
              <w:spacing w:before="120" w:line="360" w:lineRule="auto"/>
              <w:ind w:left="-108" w:firstLine="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  <w:tc>
          <w:tcPr>
            <w:tcW w:w="2266" w:type="dxa"/>
          </w:tcPr>
          <w:p w14:paraId="56115149" w14:textId="2D2D43FB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(2</w:t>
            </w:r>
            <w:r w:rsidR="005C630E" w:rsidRPr="00B92006">
              <w:rPr>
                <w:rFonts w:ascii="Arial" w:hAnsi="Arial" w:cs="Arial"/>
                <w:sz w:val="20"/>
                <w:szCs w:val="20"/>
                <w:lang w:val="en-GB"/>
              </w:rPr>
              <w:t>.00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; 2.2</w:t>
            </w:r>
            <w:r w:rsidR="005C630E" w:rsidRPr="00B92006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6837F6" w:rsidRPr="00B92006" w14:paraId="38119F03" w14:textId="77777777" w:rsidTr="00D74A1B">
        <w:tc>
          <w:tcPr>
            <w:tcW w:w="4390" w:type="dxa"/>
          </w:tcPr>
          <w:p w14:paraId="4950F15D" w14:textId="6022DA95" w:rsidR="006837F6" w:rsidRPr="00B92006" w:rsidRDefault="00155B24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Number of c</w:t>
            </w:r>
            <w:r w:rsidR="006837F6" w:rsidRPr="00B92006">
              <w:rPr>
                <w:rFonts w:ascii="Arial" w:hAnsi="Arial" w:cs="Arial"/>
                <w:sz w:val="20"/>
                <w:szCs w:val="20"/>
                <w:lang w:val="en-GB"/>
              </w:rPr>
              <w:t>hildren, incl. stillbirths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41486935" w14:textId="15E6E6B8" w:rsidR="006837F6" w:rsidRPr="00B92006" w:rsidRDefault="006837F6" w:rsidP="00D74A1B">
            <w:pPr>
              <w:spacing w:before="120" w:line="360" w:lineRule="auto"/>
              <w:ind w:right="-108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1.05</w:t>
            </w:r>
          </w:p>
        </w:tc>
        <w:tc>
          <w:tcPr>
            <w:tcW w:w="705" w:type="dxa"/>
            <w:tcBorders>
              <w:left w:val="single" w:sz="4" w:space="0" w:color="FFFFFF" w:themeColor="background1"/>
            </w:tcBorders>
          </w:tcPr>
          <w:p w14:paraId="11F8E9BA" w14:textId="562DE507" w:rsidR="006837F6" w:rsidRPr="00B92006" w:rsidRDefault="006837F6" w:rsidP="00D74A1B">
            <w:pPr>
              <w:spacing w:before="120" w:line="360" w:lineRule="auto"/>
              <w:ind w:left="-108" w:firstLine="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  <w:tc>
          <w:tcPr>
            <w:tcW w:w="2266" w:type="dxa"/>
          </w:tcPr>
          <w:p w14:paraId="152B4563" w14:textId="39B8229F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(0.96; 1.14)</w:t>
            </w:r>
          </w:p>
        </w:tc>
      </w:tr>
      <w:tr w:rsidR="006837F6" w:rsidRPr="00B92006" w14:paraId="1D3EDCEA" w14:textId="77777777" w:rsidTr="00D74A1B">
        <w:tc>
          <w:tcPr>
            <w:tcW w:w="4390" w:type="dxa"/>
          </w:tcPr>
          <w:p w14:paraId="170E0AD6" w14:textId="681508DF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Divorce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10C277EE" w14:textId="2E02197B" w:rsidR="006837F6" w:rsidRPr="00B92006" w:rsidRDefault="00123497" w:rsidP="00D74A1B">
            <w:pPr>
              <w:spacing w:before="120" w:line="360" w:lineRule="auto"/>
              <w:ind w:right="-108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−</w:t>
            </w:r>
            <w:r w:rsidR="006837F6" w:rsidRPr="00B92006">
              <w:rPr>
                <w:rFonts w:ascii="Arial" w:hAnsi="Arial" w:cs="Arial"/>
                <w:sz w:val="20"/>
                <w:szCs w:val="20"/>
                <w:lang w:val="en-GB"/>
              </w:rPr>
              <w:t>0.52</w:t>
            </w:r>
          </w:p>
        </w:tc>
        <w:tc>
          <w:tcPr>
            <w:tcW w:w="705" w:type="dxa"/>
            <w:tcBorders>
              <w:left w:val="single" w:sz="4" w:space="0" w:color="FFFFFF" w:themeColor="background1"/>
            </w:tcBorders>
          </w:tcPr>
          <w:p w14:paraId="0F7FA42E" w14:textId="15873EEF" w:rsidR="006837F6" w:rsidRPr="00B92006" w:rsidRDefault="006837F6" w:rsidP="00D74A1B">
            <w:pPr>
              <w:spacing w:before="120" w:line="360" w:lineRule="auto"/>
              <w:ind w:left="-108" w:firstLine="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  <w:tc>
          <w:tcPr>
            <w:tcW w:w="2266" w:type="dxa"/>
          </w:tcPr>
          <w:p w14:paraId="2ECA2D76" w14:textId="5A2496C6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123497" w:rsidRPr="00B92006">
              <w:rPr>
                <w:rFonts w:ascii="Arial" w:hAnsi="Arial" w:cs="Arial"/>
                <w:sz w:val="20"/>
                <w:szCs w:val="20"/>
                <w:lang w:val="en-GB"/>
              </w:rPr>
              <w:t>−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 xml:space="preserve">0.88; </w:t>
            </w:r>
            <w:r w:rsidR="00123497" w:rsidRPr="00B92006">
              <w:rPr>
                <w:rFonts w:ascii="Arial" w:hAnsi="Arial" w:cs="Arial"/>
                <w:sz w:val="20"/>
                <w:szCs w:val="20"/>
                <w:lang w:val="en-GB"/>
              </w:rPr>
              <w:t>−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0.18)</w:t>
            </w:r>
          </w:p>
        </w:tc>
      </w:tr>
      <w:tr w:rsidR="006837F6" w:rsidRPr="00B92006" w14:paraId="62C91B8F" w14:textId="77777777" w:rsidTr="00D74A1B">
        <w:tc>
          <w:tcPr>
            <w:tcW w:w="4390" w:type="dxa"/>
          </w:tcPr>
          <w:p w14:paraId="0FADB6B5" w14:textId="060B9F1C" w:rsidR="006837F6" w:rsidRPr="00B92006" w:rsidRDefault="0087230A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Alimony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1646EBFD" w14:textId="6FB9B815" w:rsidR="006837F6" w:rsidRPr="00B92006" w:rsidRDefault="00123497" w:rsidP="00B7044B">
            <w:pPr>
              <w:spacing w:before="120" w:line="360" w:lineRule="auto"/>
              <w:ind w:right="-108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−</w:t>
            </w:r>
            <w:r w:rsidR="005C630E" w:rsidRPr="00B92006">
              <w:rPr>
                <w:rFonts w:ascii="Arial" w:hAnsi="Arial" w:cs="Arial"/>
                <w:sz w:val="20"/>
                <w:szCs w:val="20"/>
                <w:lang w:val="en-GB"/>
              </w:rPr>
              <w:t>1.00</w:t>
            </w:r>
          </w:p>
        </w:tc>
        <w:tc>
          <w:tcPr>
            <w:tcW w:w="705" w:type="dxa"/>
            <w:tcBorders>
              <w:left w:val="single" w:sz="4" w:space="0" w:color="FFFFFF" w:themeColor="background1"/>
            </w:tcBorders>
          </w:tcPr>
          <w:p w14:paraId="39D7FF29" w14:textId="4F8D1D17" w:rsidR="006837F6" w:rsidRPr="00B92006" w:rsidRDefault="006837F6" w:rsidP="00D74A1B">
            <w:pPr>
              <w:spacing w:before="120" w:line="360" w:lineRule="auto"/>
              <w:ind w:left="-108" w:firstLine="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2266" w:type="dxa"/>
          </w:tcPr>
          <w:p w14:paraId="2E648EDA" w14:textId="3C95CDF3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123497" w:rsidRPr="00B92006">
              <w:rPr>
                <w:rFonts w:ascii="Arial" w:hAnsi="Arial" w:cs="Arial"/>
                <w:sz w:val="20"/>
                <w:szCs w:val="20"/>
                <w:lang w:val="en-GB"/>
              </w:rPr>
              <w:t>−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 xml:space="preserve">1.99; </w:t>
            </w:r>
            <w:r w:rsidR="00123497" w:rsidRPr="00B92006">
              <w:rPr>
                <w:rFonts w:ascii="Arial" w:hAnsi="Arial" w:cs="Arial"/>
                <w:sz w:val="20"/>
                <w:szCs w:val="20"/>
                <w:lang w:val="en-GB"/>
              </w:rPr>
              <w:t>−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0.1</w:t>
            </w:r>
            <w:r w:rsidR="005C630E" w:rsidRPr="00B92006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6837F6" w:rsidRPr="00B92006" w14:paraId="254E6CAF" w14:textId="77777777" w:rsidTr="00D74A1B">
        <w:tc>
          <w:tcPr>
            <w:tcW w:w="4390" w:type="dxa"/>
          </w:tcPr>
          <w:p w14:paraId="58331909" w14:textId="299ACD1F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Paternity leave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3B54512D" w14:textId="32BBF122" w:rsidR="006837F6" w:rsidRPr="00B92006" w:rsidRDefault="006837F6" w:rsidP="00D74A1B">
            <w:pPr>
              <w:spacing w:before="120" w:line="360" w:lineRule="auto"/>
              <w:ind w:right="-108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0.67</w:t>
            </w:r>
          </w:p>
        </w:tc>
        <w:tc>
          <w:tcPr>
            <w:tcW w:w="705" w:type="dxa"/>
            <w:tcBorders>
              <w:left w:val="single" w:sz="4" w:space="0" w:color="FFFFFF" w:themeColor="background1"/>
            </w:tcBorders>
          </w:tcPr>
          <w:p w14:paraId="2CBAFC32" w14:textId="6F1E7B24" w:rsidR="006837F6" w:rsidRPr="00B92006" w:rsidRDefault="006837F6" w:rsidP="00D74A1B">
            <w:pPr>
              <w:spacing w:before="120" w:line="360" w:lineRule="auto"/>
              <w:ind w:left="-108" w:firstLine="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  <w:tc>
          <w:tcPr>
            <w:tcW w:w="2266" w:type="dxa"/>
          </w:tcPr>
          <w:p w14:paraId="1C69E3A2" w14:textId="5A0AADFB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(0.4</w:t>
            </w:r>
            <w:r w:rsidR="005C630E" w:rsidRPr="00B92006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; 0.95)</w:t>
            </w:r>
          </w:p>
        </w:tc>
      </w:tr>
      <w:tr w:rsidR="006837F6" w:rsidRPr="00B92006" w14:paraId="54885B92" w14:textId="77777777" w:rsidTr="00D74A1B">
        <w:tc>
          <w:tcPr>
            <w:tcW w:w="4390" w:type="dxa"/>
          </w:tcPr>
          <w:p w14:paraId="4CAC3D35" w14:textId="36F16BF8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Buying prescription drug for quasi</w:t>
            </w:r>
            <w:r w:rsidR="00625582" w:rsidRPr="00B92006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partner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06B4E69C" w14:textId="446E14AF" w:rsidR="006837F6" w:rsidRPr="00B92006" w:rsidRDefault="006837F6" w:rsidP="00D74A1B">
            <w:pPr>
              <w:spacing w:before="120" w:line="360" w:lineRule="auto"/>
              <w:ind w:right="-108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1.12</w:t>
            </w:r>
          </w:p>
        </w:tc>
        <w:tc>
          <w:tcPr>
            <w:tcW w:w="705" w:type="dxa"/>
            <w:tcBorders>
              <w:left w:val="single" w:sz="4" w:space="0" w:color="FFFFFF" w:themeColor="background1"/>
            </w:tcBorders>
          </w:tcPr>
          <w:p w14:paraId="64FFA5AB" w14:textId="4E1C4EA5" w:rsidR="006837F6" w:rsidRPr="00B92006" w:rsidRDefault="006837F6" w:rsidP="00D74A1B">
            <w:pPr>
              <w:spacing w:before="120" w:line="360" w:lineRule="auto"/>
              <w:ind w:left="-108" w:firstLine="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  <w:tc>
          <w:tcPr>
            <w:tcW w:w="2266" w:type="dxa"/>
          </w:tcPr>
          <w:p w14:paraId="3E837766" w14:textId="2F01FE50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(0.96; 1.28)</w:t>
            </w:r>
          </w:p>
        </w:tc>
      </w:tr>
      <w:tr w:rsidR="006837F6" w:rsidRPr="00B92006" w14:paraId="76D2F3E8" w14:textId="77777777" w:rsidTr="00D74A1B">
        <w:tc>
          <w:tcPr>
            <w:tcW w:w="4390" w:type="dxa"/>
          </w:tcPr>
          <w:p w14:paraId="0E2DCFE0" w14:textId="7A860BE4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Sharing a vehicle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0E8C8411" w14:textId="038318F3" w:rsidR="006837F6" w:rsidRPr="00B92006" w:rsidRDefault="006837F6" w:rsidP="00D74A1B">
            <w:pPr>
              <w:spacing w:before="120" w:line="360" w:lineRule="auto"/>
              <w:ind w:right="-108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0.81</w:t>
            </w:r>
          </w:p>
        </w:tc>
        <w:tc>
          <w:tcPr>
            <w:tcW w:w="705" w:type="dxa"/>
            <w:tcBorders>
              <w:left w:val="single" w:sz="4" w:space="0" w:color="FFFFFF" w:themeColor="background1"/>
            </w:tcBorders>
          </w:tcPr>
          <w:p w14:paraId="3FB342CA" w14:textId="5760E423" w:rsidR="006837F6" w:rsidRPr="00B92006" w:rsidRDefault="006837F6" w:rsidP="00D74A1B">
            <w:pPr>
              <w:spacing w:before="120" w:line="360" w:lineRule="auto"/>
              <w:ind w:left="-108" w:firstLine="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  <w:tc>
          <w:tcPr>
            <w:tcW w:w="2266" w:type="dxa"/>
          </w:tcPr>
          <w:p w14:paraId="5B160537" w14:textId="3B1D05F5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(0.67; 0.95)</w:t>
            </w:r>
          </w:p>
        </w:tc>
      </w:tr>
      <w:tr w:rsidR="006837F6" w:rsidRPr="00B92006" w14:paraId="340B05FA" w14:textId="77777777" w:rsidTr="00D74A1B">
        <w:tc>
          <w:tcPr>
            <w:tcW w:w="4390" w:type="dxa"/>
          </w:tcPr>
          <w:p w14:paraId="15E3FED3" w14:textId="637A496A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Time since last positive event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66B39BB9" w14:textId="655F574D" w:rsidR="006837F6" w:rsidRPr="00B92006" w:rsidRDefault="006837F6" w:rsidP="00D74A1B">
            <w:pPr>
              <w:spacing w:before="120" w:line="360" w:lineRule="auto"/>
              <w:ind w:right="-108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1.07</w:t>
            </w:r>
          </w:p>
        </w:tc>
        <w:tc>
          <w:tcPr>
            <w:tcW w:w="705" w:type="dxa"/>
            <w:tcBorders>
              <w:left w:val="single" w:sz="4" w:space="0" w:color="FFFFFF" w:themeColor="background1"/>
            </w:tcBorders>
          </w:tcPr>
          <w:p w14:paraId="1369F575" w14:textId="15A4FF1D" w:rsidR="006837F6" w:rsidRPr="00B92006" w:rsidRDefault="006837F6" w:rsidP="00D74A1B">
            <w:pPr>
              <w:spacing w:before="120" w:line="360" w:lineRule="auto"/>
              <w:ind w:left="-108" w:firstLine="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  <w:tc>
          <w:tcPr>
            <w:tcW w:w="2266" w:type="dxa"/>
          </w:tcPr>
          <w:p w14:paraId="62FA3689" w14:textId="75DBC2B7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(0.86; 1.28)</w:t>
            </w:r>
          </w:p>
        </w:tc>
      </w:tr>
      <w:tr w:rsidR="006837F6" w:rsidRPr="00B92006" w14:paraId="013D5F7A" w14:textId="77777777" w:rsidTr="00D74A1B">
        <w:tc>
          <w:tcPr>
            <w:tcW w:w="4390" w:type="dxa"/>
          </w:tcPr>
          <w:p w14:paraId="25F12A5A" w14:textId="0AC9D5C1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Time since last negative event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2FF29311" w14:textId="141288F7" w:rsidR="006837F6" w:rsidRPr="00B92006" w:rsidRDefault="00123497" w:rsidP="00D74A1B">
            <w:pPr>
              <w:spacing w:before="120" w:line="360" w:lineRule="auto"/>
              <w:ind w:right="-108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−</w:t>
            </w:r>
            <w:r w:rsidR="006837F6" w:rsidRPr="00B92006">
              <w:rPr>
                <w:rFonts w:ascii="Arial" w:hAnsi="Arial" w:cs="Arial"/>
                <w:sz w:val="20"/>
                <w:szCs w:val="20"/>
                <w:lang w:val="en-GB"/>
              </w:rPr>
              <w:t>0.94</w:t>
            </w:r>
          </w:p>
        </w:tc>
        <w:tc>
          <w:tcPr>
            <w:tcW w:w="705" w:type="dxa"/>
            <w:tcBorders>
              <w:left w:val="single" w:sz="4" w:space="0" w:color="FFFFFF" w:themeColor="background1"/>
            </w:tcBorders>
          </w:tcPr>
          <w:p w14:paraId="0800BAE3" w14:textId="0B1443DC" w:rsidR="006837F6" w:rsidRPr="00B92006" w:rsidRDefault="006837F6" w:rsidP="00D74A1B">
            <w:pPr>
              <w:spacing w:before="120" w:line="360" w:lineRule="auto"/>
              <w:ind w:left="-108" w:firstLine="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  <w:tc>
          <w:tcPr>
            <w:tcW w:w="2266" w:type="dxa"/>
          </w:tcPr>
          <w:p w14:paraId="1F0E436D" w14:textId="3FD4B2B2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123497" w:rsidRPr="00B92006">
              <w:rPr>
                <w:rFonts w:ascii="Arial" w:hAnsi="Arial" w:cs="Arial"/>
                <w:sz w:val="20"/>
                <w:szCs w:val="20"/>
                <w:lang w:val="en-GB"/>
              </w:rPr>
              <w:t>−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 xml:space="preserve">1.59; </w:t>
            </w:r>
            <w:r w:rsidR="00123497" w:rsidRPr="00B92006">
              <w:rPr>
                <w:rFonts w:ascii="Arial" w:hAnsi="Arial" w:cs="Arial"/>
                <w:sz w:val="20"/>
                <w:szCs w:val="20"/>
                <w:lang w:val="en-GB"/>
              </w:rPr>
              <w:t>−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0.28)</w:t>
            </w:r>
          </w:p>
        </w:tc>
      </w:tr>
      <w:tr w:rsidR="006837F6" w:rsidRPr="00B92006" w14:paraId="11AAD1A1" w14:textId="77777777" w:rsidTr="00D74A1B">
        <w:tc>
          <w:tcPr>
            <w:tcW w:w="4390" w:type="dxa"/>
          </w:tcPr>
          <w:p w14:paraId="2A848B9C" w14:textId="7C06D36A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Man at least 20 years older</w:t>
            </w:r>
            <w:r w:rsidR="00707A9D" w:rsidRPr="00B92006">
              <w:rPr>
                <w:lang w:val="en-GB"/>
              </w:rPr>
              <w:t xml:space="preserve"> </w:t>
            </w:r>
            <w:r w:rsidR="00707A9D" w:rsidRPr="00B92006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39ECB3AB" w14:textId="49CF5647" w:rsidR="006837F6" w:rsidRPr="00B92006" w:rsidRDefault="00123497" w:rsidP="00D74A1B">
            <w:pPr>
              <w:spacing w:before="120" w:line="360" w:lineRule="auto"/>
              <w:ind w:right="-108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−</w:t>
            </w:r>
            <w:r w:rsidR="006837F6" w:rsidRPr="00B92006">
              <w:rPr>
                <w:rFonts w:ascii="Arial" w:hAnsi="Arial" w:cs="Arial"/>
                <w:sz w:val="20"/>
                <w:szCs w:val="20"/>
                <w:lang w:val="en-GB"/>
              </w:rPr>
              <w:t>14.9</w:t>
            </w:r>
          </w:p>
        </w:tc>
        <w:tc>
          <w:tcPr>
            <w:tcW w:w="705" w:type="dxa"/>
            <w:tcBorders>
              <w:left w:val="single" w:sz="4" w:space="0" w:color="FFFFFF" w:themeColor="background1"/>
            </w:tcBorders>
          </w:tcPr>
          <w:p w14:paraId="48B57DDA" w14:textId="31F85F56" w:rsidR="006837F6" w:rsidRPr="00B92006" w:rsidRDefault="006837F6" w:rsidP="00D74A1B">
            <w:pPr>
              <w:spacing w:before="120" w:line="360" w:lineRule="auto"/>
              <w:ind w:left="-108" w:firstLine="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  <w:tc>
          <w:tcPr>
            <w:tcW w:w="2266" w:type="dxa"/>
          </w:tcPr>
          <w:p w14:paraId="75A9E45E" w14:textId="4B9A1E3E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123497" w:rsidRPr="00B92006">
              <w:rPr>
                <w:rFonts w:ascii="Arial" w:hAnsi="Arial" w:cs="Arial"/>
                <w:sz w:val="20"/>
                <w:szCs w:val="20"/>
                <w:lang w:val="en-GB"/>
              </w:rPr>
              <w:t>−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 xml:space="preserve">17.86; </w:t>
            </w:r>
            <w:r w:rsidR="00123497" w:rsidRPr="00B92006">
              <w:rPr>
                <w:rFonts w:ascii="Arial" w:hAnsi="Arial" w:cs="Arial"/>
                <w:sz w:val="20"/>
                <w:szCs w:val="20"/>
                <w:lang w:val="en-GB"/>
              </w:rPr>
              <w:t>−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12.45)</w:t>
            </w:r>
          </w:p>
        </w:tc>
      </w:tr>
      <w:tr w:rsidR="006837F6" w:rsidRPr="00B92006" w14:paraId="12AB9A92" w14:textId="77777777" w:rsidTr="00D74A1B">
        <w:tc>
          <w:tcPr>
            <w:tcW w:w="4390" w:type="dxa"/>
          </w:tcPr>
          <w:p w14:paraId="6138BB1E" w14:textId="1DA403DE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Woman at least 15 years older</w:t>
            </w:r>
            <w:r w:rsidR="00707A9D" w:rsidRPr="00B92006">
              <w:rPr>
                <w:lang w:val="en-GB"/>
              </w:rPr>
              <w:t xml:space="preserve"> </w:t>
            </w:r>
            <w:r w:rsidR="00707A9D" w:rsidRPr="00B92006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‡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586F5F7D" w14:textId="434350D6" w:rsidR="006837F6" w:rsidRPr="00B92006" w:rsidRDefault="00123497" w:rsidP="00D74A1B">
            <w:pPr>
              <w:spacing w:before="120" w:line="360" w:lineRule="auto"/>
              <w:ind w:right="-108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−</w:t>
            </w:r>
            <w:r w:rsidR="006837F6" w:rsidRPr="00B92006">
              <w:rPr>
                <w:rFonts w:ascii="Arial" w:hAnsi="Arial" w:cs="Arial"/>
                <w:sz w:val="20"/>
                <w:szCs w:val="20"/>
                <w:lang w:val="en-GB"/>
              </w:rPr>
              <w:t>37.36</w:t>
            </w:r>
          </w:p>
        </w:tc>
        <w:tc>
          <w:tcPr>
            <w:tcW w:w="705" w:type="dxa"/>
            <w:tcBorders>
              <w:left w:val="single" w:sz="4" w:space="0" w:color="FFFFFF" w:themeColor="background1"/>
            </w:tcBorders>
          </w:tcPr>
          <w:p w14:paraId="43AF2656" w14:textId="08DA3EB4" w:rsidR="006837F6" w:rsidRPr="00B92006" w:rsidRDefault="006837F6" w:rsidP="00D74A1B">
            <w:pPr>
              <w:spacing w:before="120" w:line="360" w:lineRule="auto"/>
              <w:ind w:left="-108" w:firstLine="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  <w:tc>
          <w:tcPr>
            <w:tcW w:w="2266" w:type="dxa"/>
          </w:tcPr>
          <w:p w14:paraId="315E889C" w14:textId="78511C08" w:rsidR="006837F6" w:rsidRPr="00B92006" w:rsidRDefault="006837F6" w:rsidP="00155B24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123497" w:rsidRPr="00B92006">
              <w:rPr>
                <w:rFonts w:ascii="Arial" w:hAnsi="Arial" w:cs="Arial"/>
                <w:sz w:val="20"/>
                <w:szCs w:val="20"/>
                <w:lang w:val="en-GB"/>
              </w:rPr>
              <w:t>−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 xml:space="preserve">48.5; </w:t>
            </w:r>
            <w:r w:rsidR="00123497" w:rsidRPr="00B92006">
              <w:rPr>
                <w:rFonts w:ascii="Arial" w:hAnsi="Arial" w:cs="Arial"/>
                <w:sz w:val="20"/>
                <w:szCs w:val="20"/>
                <w:lang w:val="en-GB"/>
              </w:rPr>
              <w:t>−</w:t>
            </w: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28.83)</w:t>
            </w:r>
          </w:p>
        </w:tc>
      </w:tr>
    </w:tbl>
    <w:p w14:paraId="252129D1" w14:textId="19C4C5C1" w:rsidR="00D51A1B" w:rsidRPr="00B92006" w:rsidRDefault="00D51A1B" w:rsidP="00D51A1B">
      <w:pPr>
        <w:pStyle w:val="NSMnormal"/>
        <w:rPr>
          <w:sz w:val="20"/>
          <w:szCs w:val="20"/>
        </w:rPr>
      </w:pPr>
      <w:r w:rsidRPr="00B92006">
        <w:rPr>
          <w:sz w:val="20"/>
          <w:szCs w:val="20"/>
          <w:vertAlign w:val="superscript"/>
        </w:rPr>
        <w:t>§</w:t>
      </w:r>
      <w:r w:rsidRPr="00B92006">
        <w:rPr>
          <w:sz w:val="20"/>
          <w:szCs w:val="20"/>
        </w:rPr>
        <w:t xml:space="preserve"> P</w:t>
      </w:r>
      <w:r w:rsidR="00625582" w:rsidRPr="00B92006">
        <w:rPr>
          <w:sz w:val="20"/>
          <w:szCs w:val="20"/>
        </w:rPr>
        <w:t>-</w:t>
      </w:r>
      <w:r w:rsidRPr="00B92006">
        <w:rPr>
          <w:sz w:val="20"/>
          <w:szCs w:val="20"/>
        </w:rPr>
        <w:t>values are marked by asterisks</w:t>
      </w:r>
    </w:p>
    <w:p w14:paraId="1F59060E" w14:textId="044E0155" w:rsidR="006837F6" w:rsidRPr="00B92006" w:rsidRDefault="00D51A1B" w:rsidP="00D51A1B">
      <w:pPr>
        <w:pStyle w:val="NSMnormal"/>
        <w:rPr>
          <w:sz w:val="20"/>
          <w:szCs w:val="20"/>
        </w:rPr>
      </w:pPr>
      <w:r w:rsidRPr="00B92006">
        <w:rPr>
          <w:sz w:val="20"/>
          <w:szCs w:val="20"/>
        </w:rPr>
        <w:t xml:space="preserve"> * – p &lt; 0.05, ** – p &lt; 0.01, *** – p &lt; 0.001</w:t>
      </w:r>
    </w:p>
    <w:p w14:paraId="2CE993E7" w14:textId="2A1E31DA" w:rsidR="00707A9D" w:rsidRPr="00B92006" w:rsidRDefault="00707A9D" w:rsidP="00D51A1B">
      <w:pPr>
        <w:pStyle w:val="NSMnormal"/>
        <w:rPr>
          <w:sz w:val="20"/>
          <w:szCs w:val="20"/>
        </w:rPr>
      </w:pPr>
      <w:r w:rsidRPr="00B92006">
        <w:rPr>
          <w:sz w:val="20"/>
          <w:szCs w:val="20"/>
        </w:rPr>
        <w:t xml:space="preserve"> </w:t>
      </w:r>
      <w:r w:rsidRPr="00B92006">
        <w:rPr>
          <w:sz w:val="20"/>
          <w:szCs w:val="20"/>
          <w:vertAlign w:val="superscript"/>
        </w:rPr>
        <w:t>†</w:t>
      </w:r>
      <w:r w:rsidRPr="00B92006">
        <w:rPr>
          <w:sz w:val="20"/>
          <w:szCs w:val="20"/>
        </w:rPr>
        <w:t xml:space="preserve"> Let Δ = </w:t>
      </w:r>
      <w:proofErr w:type="spellStart"/>
      <w:r w:rsidRPr="00B92006">
        <w:rPr>
          <w:sz w:val="20"/>
          <w:szCs w:val="20"/>
        </w:rPr>
        <w:t>age</w:t>
      </w:r>
      <w:r w:rsidRPr="00B92006">
        <w:rPr>
          <w:sz w:val="20"/>
          <w:szCs w:val="20"/>
          <w:vertAlign w:val="subscript"/>
        </w:rPr>
        <w:t>man</w:t>
      </w:r>
      <w:proofErr w:type="spellEnd"/>
      <w:r w:rsidRPr="00B92006">
        <w:rPr>
          <w:sz w:val="20"/>
          <w:szCs w:val="20"/>
        </w:rPr>
        <w:t xml:space="preserve"> – </w:t>
      </w:r>
      <w:proofErr w:type="spellStart"/>
      <w:r w:rsidRPr="00B92006">
        <w:rPr>
          <w:sz w:val="20"/>
          <w:szCs w:val="20"/>
        </w:rPr>
        <w:t>age</w:t>
      </w:r>
      <w:r w:rsidRPr="00B92006">
        <w:rPr>
          <w:sz w:val="20"/>
          <w:szCs w:val="20"/>
          <w:vertAlign w:val="subscript"/>
        </w:rPr>
        <w:t>woman</w:t>
      </w:r>
      <w:proofErr w:type="spellEnd"/>
      <w:r w:rsidRPr="00B92006">
        <w:rPr>
          <w:sz w:val="20"/>
          <w:szCs w:val="20"/>
          <w:vertAlign w:val="subscript"/>
        </w:rPr>
        <w:t xml:space="preserve">. </w:t>
      </w:r>
      <w:r w:rsidRPr="00B92006">
        <w:rPr>
          <w:sz w:val="20"/>
          <w:szCs w:val="20"/>
        </w:rPr>
        <w:t xml:space="preserve">The value of </w:t>
      </w:r>
      <w:r w:rsidRPr="00094AAD">
        <w:rPr>
          <w:sz w:val="20"/>
          <w:szCs w:val="20"/>
        </w:rPr>
        <w:t>covariate is given by</w:t>
      </w:r>
      <w:r w:rsidRPr="00B92006">
        <w:rPr>
          <w:sz w:val="20"/>
          <w:szCs w:val="20"/>
        </w:rPr>
        <w:t xml:space="preserve"> 1 − 0.95</w:t>
      </w:r>
      <w:r w:rsidRPr="00B92006">
        <w:rPr>
          <w:sz w:val="20"/>
          <w:szCs w:val="20"/>
          <w:vertAlign w:val="superscript"/>
        </w:rPr>
        <w:t xml:space="preserve"> Δ−20</w:t>
      </w:r>
      <w:r w:rsidRPr="00B92006">
        <w:rPr>
          <w:sz w:val="20"/>
          <w:szCs w:val="20"/>
        </w:rPr>
        <w:t xml:space="preserve"> for Δ &gt; 20 and 0 for Δ ≤ 20.</w:t>
      </w:r>
    </w:p>
    <w:p w14:paraId="3847C8ED" w14:textId="7E753C1F" w:rsidR="00422A49" w:rsidRPr="00B92006" w:rsidRDefault="00D667AE" w:rsidP="00D667AE">
      <w:pPr>
        <w:pStyle w:val="NSMnormal"/>
        <w:rPr>
          <w:sz w:val="20"/>
          <w:szCs w:val="20"/>
        </w:rPr>
      </w:pPr>
      <w:r w:rsidRPr="00B92006">
        <w:rPr>
          <w:sz w:val="20"/>
          <w:szCs w:val="20"/>
          <w:vertAlign w:val="superscript"/>
        </w:rPr>
        <w:t>‡</w:t>
      </w:r>
      <w:r w:rsidRPr="00B92006">
        <w:rPr>
          <w:sz w:val="20"/>
          <w:szCs w:val="20"/>
        </w:rPr>
        <w:t xml:space="preserve"> The value of </w:t>
      </w:r>
      <w:r w:rsidRPr="00094AAD">
        <w:rPr>
          <w:sz w:val="20"/>
          <w:szCs w:val="20"/>
        </w:rPr>
        <w:t>covariate is given by</w:t>
      </w:r>
      <w:r w:rsidRPr="00B92006">
        <w:rPr>
          <w:sz w:val="20"/>
          <w:szCs w:val="20"/>
        </w:rPr>
        <w:t xml:space="preserve"> 1 − 0.97</w:t>
      </w:r>
      <w:r w:rsidRPr="00B92006">
        <w:rPr>
          <w:sz w:val="20"/>
          <w:szCs w:val="20"/>
          <w:vertAlign w:val="superscript"/>
        </w:rPr>
        <w:t xml:space="preserve"> −Δ−15</w:t>
      </w:r>
      <w:r w:rsidRPr="00B92006">
        <w:rPr>
          <w:sz w:val="20"/>
          <w:szCs w:val="20"/>
        </w:rPr>
        <w:t xml:space="preserve"> for Δ &lt; −15 and 0 for Δ ≥ −15.</w:t>
      </w:r>
    </w:p>
    <w:p w14:paraId="6D0B017F" w14:textId="77777777" w:rsidR="004F270D" w:rsidRPr="00B92006" w:rsidRDefault="004F270D" w:rsidP="005D44F8">
      <w:pPr>
        <w:pStyle w:val="NSMnormal"/>
      </w:pPr>
    </w:p>
    <w:p w14:paraId="485F90E7" w14:textId="623BB15F" w:rsidR="00CE5296" w:rsidRPr="00B92006" w:rsidRDefault="00EA4155" w:rsidP="005D44F8">
      <w:pPr>
        <w:pStyle w:val="NSMnormal"/>
      </w:pPr>
      <w:r w:rsidRPr="00EA1649">
        <w:t>Quasi-couple data includes</w:t>
      </w:r>
      <w:r w:rsidR="00AB07C7" w:rsidRPr="00EA1649">
        <w:t xml:space="preserve"> only couples that share a SOP</w:t>
      </w:r>
      <w:r w:rsidR="008F570B" w:rsidRPr="00EA1649">
        <w:t xml:space="preserve"> and </w:t>
      </w:r>
      <w:r w:rsidR="00094AAD" w:rsidRPr="006B5F6C">
        <w:t xml:space="preserve">a </w:t>
      </w:r>
      <w:r w:rsidR="008F570B" w:rsidRPr="006B5F6C">
        <w:t>small fraction of survey couples that did not have any SOPs (3%)</w:t>
      </w:r>
      <w:r w:rsidRPr="00EA1649">
        <w:t xml:space="preserve">. </w:t>
      </w:r>
      <w:r w:rsidR="008F570B" w:rsidRPr="00EA1649">
        <w:t xml:space="preserve">These are only quasi-couples in the data with no SOPs and they have 100% probability of being partners. </w:t>
      </w:r>
      <w:r w:rsidR="00CE5296" w:rsidRPr="00EA1649">
        <w:t xml:space="preserve">This blurs the effect of SOPs on partnership. </w:t>
      </w:r>
      <w:r w:rsidR="008F570B" w:rsidRPr="00EA1649">
        <w:t xml:space="preserve">To better distinguish partners from non-partners, dummy negative records were introduced to fit the model. Each resident man was assigned </w:t>
      </w:r>
      <w:r w:rsidR="00CE5296" w:rsidRPr="00EA1649">
        <w:t>a random resident woman and it was assumed that all resulting quasi-couples were non-partners.</w:t>
      </w:r>
      <w:r w:rsidR="00CE5296" w:rsidRPr="00B92006">
        <w:t xml:space="preserve"> </w:t>
      </w:r>
    </w:p>
    <w:p w14:paraId="2A1684B4" w14:textId="12D4D14C" w:rsidR="009422DF" w:rsidRPr="00B92006" w:rsidRDefault="0011662D" w:rsidP="005D44F8">
      <w:pPr>
        <w:pStyle w:val="NSMnormal"/>
      </w:pPr>
      <w:r w:rsidRPr="00B92006">
        <w:t xml:space="preserve">Only variables that were statistically significant in full model with all SOPs and time-related variables were included in the final model. </w:t>
      </w:r>
      <w:r w:rsidR="00CE5296" w:rsidRPr="00B92006">
        <w:t>The strongest SOP was marriage</w:t>
      </w:r>
      <w:r w:rsidR="00F1563B">
        <w:t xml:space="preserve"> </w:t>
      </w:r>
      <w:r w:rsidR="007E4962">
        <w:rPr>
          <w:shd w:val="clear" w:color="auto" w:fill="FFFFFF"/>
        </w:rPr>
        <w:t>–</w:t>
      </w:r>
      <w:r w:rsidR="00F1563B">
        <w:t xml:space="preserve"> </w:t>
      </w:r>
      <w:r w:rsidR="00CE5296" w:rsidRPr="00B92006">
        <w:t xml:space="preserve">being married </w:t>
      </w:r>
      <w:r w:rsidR="005C630E" w:rsidRPr="00B92006">
        <w:t xml:space="preserve">increases the </w:t>
      </w:r>
      <w:r w:rsidR="005C630E" w:rsidRPr="00190D6B">
        <w:rPr>
          <w:i/>
        </w:rPr>
        <w:t>odds</w:t>
      </w:r>
      <w:r w:rsidR="005C630E" w:rsidRPr="00B92006">
        <w:t xml:space="preserve"> of partnership by </w:t>
      </w:r>
      <w:r w:rsidR="005C630E" w:rsidRPr="00190D6B">
        <w:rPr>
          <w:i/>
        </w:rPr>
        <w:t>e</w:t>
      </w:r>
      <w:r w:rsidR="005C630E" w:rsidRPr="00190D6B">
        <w:rPr>
          <w:vertAlign w:val="superscript"/>
        </w:rPr>
        <w:t>3.1</w:t>
      </w:r>
      <w:r w:rsidR="005C630E" w:rsidRPr="00B92006">
        <w:t xml:space="preserve"> = 22 times.</w:t>
      </w:r>
      <w:r w:rsidRPr="00B92006">
        <w:t xml:space="preserve"> Declaration of income is a SOP that applies only to married couples</w:t>
      </w:r>
      <w:r w:rsidR="001E171C" w:rsidRPr="00B92006">
        <w:t xml:space="preserve">. When adjusted to other variables in the model, </w:t>
      </w:r>
      <w:r w:rsidR="00185554" w:rsidRPr="00B92006">
        <w:t xml:space="preserve">transferring unused tax deduction to spouse weakens the effect of marriage. Half-marriage and sharing </w:t>
      </w:r>
      <w:r w:rsidR="00F1563B">
        <w:t xml:space="preserve">the </w:t>
      </w:r>
      <w:r w:rsidR="00185554" w:rsidRPr="00B92006">
        <w:t xml:space="preserve">place of residence in PR are also strong predictors of partnership. </w:t>
      </w:r>
      <w:r w:rsidR="009422DF" w:rsidRPr="00B92006">
        <w:t xml:space="preserve">Buying prescription drugs for </w:t>
      </w:r>
      <w:r w:rsidR="009B0502">
        <w:t xml:space="preserve">the </w:t>
      </w:r>
      <w:r w:rsidR="009422DF" w:rsidRPr="00B92006">
        <w:t xml:space="preserve">partner, receiving subsistence benefit in the same household, having mutual children, co-owning property, sharing a vehicle, taking paternity leave and having joint housing loan also increase the odds of partnership. As expected, alimony, divorce and large age </w:t>
      </w:r>
      <w:r w:rsidR="009422DF" w:rsidRPr="00B92006">
        <w:lastRenderedPageBreak/>
        <w:t xml:space="preserve">differences lower the probability of partnership. Recent positive events </w:t>
      </w:r>
      <w:r w:rsidR="00467E8F" w:rsidRPr="00B92006">
        <w:t>raise odds of partnership while recent negative events reduce it.</w:t>
      </w:r>
    </w:p>
    <w:p w14:paraId="2AF84B3A" w14:textId="3B3BB8AA" w:rsidR="00B47CC4" w:rsidRPr="00B92006" w:rsidRDefault="00FE3CC6" w:rsidP="005D44F8">
      <w:pPr>
        <w:pStyle w:val="NSMnormal"/>
      </w:pPr>
      <w:r w:rsidRPr="00B92006">
        <w:t xml:space="preserve">The partnership index is the prediction of the logistic regression model. </w:t>
      </w:r>
      <w:r w:rsidR="00155B43" w:rsidRPr="00B92006">
        <w:t>It is natural to assign positive partnership status to quasi</w:t>
      </w:r>
      <w:r w:rsidR="00625582" w:rsidRPr="00B92006">
        <w:t>-</w:t>
      </w:r>
      <w:r w:rsidR="00155B43" w:rsidRPr="00B92006">
        <w:t xml:space="preserve">couples with index exceeding </w:t>
      </w:r>
      <w:r w:rsidR="00BB4419">
        <w:t xml:space="preserve">a </w:t>
      </w:r>
      <w:r w:rsidR="00155B43" w:rsidRPr="00B92006">
        <w:t xml:space="preserve">certain threshold. </w:t>
      </w:r>
      <w:r w:rsidR="00BB4419">
        <w:t>However</w:t>
      </w:r>
      <w:r w:rsidR="00155B43" w:rsidRPr="00B92006">
        <w:t xml:space="preserve">, one person may have high index value with multiple possible partners. Also, the best choice of someone may </w:t>
      </w:r>
      <w:r w:rsidR="001316E3" w:rsidRPr="00B92006">
        <w:t>not prefer him or her</w:t>
      </w:r>
      <w:r w:rsidR="00155B43" w:rsidRPr="00B92006">
        <w:t xml:space="preserve">. </w:t>
      </w:r>
      <w:r w:rsidR="00A52D87" w:rsidRPr="00B92006">
        <w:t xml:space="preserve">Consider a situation with three hypothetical quasi-couples </w:t>
      </w:r>
      <w:r w:rsidR="00A52D87" w:rsidRPr="00190D6B">
        <w:rPr>
          <w:i/>
        </w:rPr>
        <w:t>AB</w:t>
      </w:r>
      <w:r w:rsidR="00A52D87" w:rsidRPr="00B92006">
        <w:t xml:space="preserve"> = {Adam, Betty}, </w:t>
      </w:r>
      <w:r w:rsidR="00A52D87" w:rsidRPr="00190D6B">
        <w:rPr>
          <w:i/>
        </w:rPr>
        <w:t>AD</w:t>
      </w:r>
      <w:r w:rsidR="00A52D87" w:rsidRPr="00B92006">
        <w:t xml:space="preserve"> = {Adam, Daisy} and </w:t>
      </w:r>
      <w:r w:rsidR="00A52D87" w:rsidRPr="00190D6B">
        <w:rPr>
          <w:i/>
        </w:rPr>
        <w:t>CB</w:t>
      </w:r>
      <w:r w:rsidR="00A52D87" w:rsidRPr="00B92006">
        <w:t xml:space="preserve"> = {Colin, Betty}. All couples have higher index value than </w:t>
      </w:r>
      <w:r w:rsidR="00BB4419">
        <w:t xml:space="preserve">the </w:t>
      </w:r>
      <w:r w:rsidR="007F4DDB" w:rsidRPr="00B92006">
        <w:t>given</w:t>
      </w:r>
      <w:r w:rsidR="00A52D87" w:rsidRPr="00B92006">
        <w:t xml:space="preserve"> threshold, say 0. Let partnership index values for quasi-couples be </w:t>
      </w:r>
      <w:r w:rsidR="00A52D87" w:rsidRPr="00190D6B">
        <w:rPr>
          <w:i/>
        </w:rPr>
        <w:t>I</w:t>
      </w:r>
      <w:r w:rsidR="00A52D87" w:rsidRPr="00190D6B">
        <w:rPr>
          <w:i/>
          <w:vertAlign w:val="subscript"/>
        </w:rPr>
        <w:t>AB</w:t>
      </w:r>
      <w:r w:rsidR="00A52D87" w:rsidRPr="00B92006">
        <w:t xml:space="preserve"> = 4, </w:t>
      </w:r>
      <w:r w:rsidR="00A52D87" w:rsidRPr="00190D6B">
        <w:rPr>
          <w:i/>
        </w:rPr>
        <w:t>I</w:t>
      </w:r>
      <w:r w:rsidR="00A52D87" w:rsidRPr="00190D6B">
        <w:rPr>
          <w:i/>
          <w:vertAlign w:val="subscript"/>
        </w:rPr>
        <w:t>AD</w:t>
      </w:r>
      <w:r w:rsidR="00A52D87" w:rsidRPr="00B92006">
        <w:t xml:space="preserve"> = 3, </w:t>
      </w:r>
      <w:r w:rsidR="00A52D87" w:rsidRPr="00190D6B">
        <w:rPr>
          <w:i/>
        </w:rPr>
        <w:t>I</w:t>
      </w:r>
      <w:r w:rsidR="00A52D87" w:rsidRPr="00190D6B">
        <w:rPr>
          <w:i/>
          <w:vertAlign w:val="subscript"/>
        </w:rPr>
        <w:t>CB</w:t>
      </w:r>
      <w:r w:rsidR="00A52D87" w:rsidRPr="00B92006">
        <w:t xml:space="preserve"> = 6. Although </w:t>
      </w:r>
      <w:r w:rsidR="0085579F" w:rsidRPr="00B92006">
        <w:t xml:space="preserve">all couples have high index value, it is not feasible to assign two partners for Betty and Adam. </w:t>
      </w:r>
      <w:r w:rsidR="007F4DDB" w:rsidRPr="00B92006">
        <w:t xml:space="preserve">Selecting a partner with </w:t>
      </w:r>
      <w:r w:rsidR="007F4DDB" w:rsidRPr="00190D6B">
        <w:rPr>
          <w:i/>
        </w:rPr>
        <w:t>highest</w:t>
      </w:r>
      <w:r w:rsidR="007F4DDB" w:rsidRPr="00B92006">
        <w:t xml:space="preserve"> index value may also leave </w:t>
      </w:r>
      <w:r w:rsidR="002A4408">
        <w:t xml:space="preserve">room for </w:t>
      </w:r>
      <w:r w:rsidR="007F4DDB" w:rsidRPr="00B92006">
        <w:t xml:space="preserve">ambiguity. In our example, </w:t>
      </w:r>
      <w:r w:rsidR="0085579F" w:rsidRPr="00B92006">
        <w:t xml:space="preserve">Adam has the highest index value with Betty, but Betty has highest index value with Colin. </w:t>
      </w:r>
    </w:p>
    <w:p w14:paraId="49800A38" w14:textId="6475205B" w:rsidR="00B47CC4" w:rsidRPr="00B92006" w:rsidRDefault="00155B43" w:rsidP="005D44F8">
      <w:pPr>
        <w:pStyle w:val="NSMnormal"/>
      </w:pPr>
      <w:r w:rsidRPr="00B92006">
        <w:t>To solve conflicts and assign each person at most one partner, a graph</w:t>
      </w:r>
      <w:r w:rsidR="00625582" w:rsidRPr="00B92006">
        <w:t>-</w:t>
      </w:r>
      <w:r w:rsidRPr="00B92006">
        <w:t xml:space="preserve">based solution </w:t>
      </w:r>
      <w:r w:rsidR="00725663" w:rsidRPr="00B92006">
        <w:t>has been proposed</w:t>
      </w:r>
      <w:r w:rsidRPr="00B92006">
        <w:t xml:space="preserve"> </w:t>
      </w:r>
      <w:r w:rsidR="00947368" w:rsidRPr="00B92006">
        <w:t>(Visk, 2019)</w:t>
      </w:r>
      <w:r w:rsidRPr="00B92006">
        <w:t>.</w:t>
      </w:r>
      <w:r w:rsidR="00B47CC4" w:rsidRPr="00B92006">
        <w:t xml:space="preserve"> Each person </w:t>
      </w:r>
      <w:r w:rsidR="001D7517" w:rsidRPr="00B92006">
        <w:t xml:space="preserve">may </w:t>
      </w:r>
      <w:r w:rsidR="00B47CC4" w:rsidRPr="00B92006">
        <w:t>be viewed as a vertex of a graph. Edges are drawn between people who share a SOP</w:t>
      </w:r>
      <w:r w:rsidR="00982254">
        <w:t>,</w:t>
      </w:r>
      <w:r w:rsidR="00B47CC4" w:rsidRPr="00B92006">
        <w:t xml:space="preserve"> i.e. quasi</w:t>
      </w:r>
      <w:r w:rsidR="00625582" w:rsidRPr="00B92006">
        <w:t>-</w:t>
      </w:r>
      <w:r w:rsidR="00B47CC4" w:rsidRPr="00B92006">
        <w:t>couples. Gale</w:t>
      </w:r>
      <w:r w:rsidR="00625582" w:rsidRPr="00B92006">
        <w:t>-</w:t>
      </w:r>
      <w:r w:rsidR="00B47CC4" w:rsidRPr="00B92006">
        <w:t xml:space="preserve">Shapley algorithm is </w:t>
      </w:r>
      <w:r w:rsidR="001D7517" w:rsidRPr="00B92006">
        <w:t xml:space="preserve">used </w:t>
      </w:r>
      <w:r w:rsidR="00B47CC4" w:rsidRPr="00B92006">
        <w:t>to achieve stable matching between men and women, that is ‘</w:t>
      </w:r>
      <w:r w:rsidR="00B47CC4" w:rsidRPr="00B92006">
        <w:rPr>
          <w:i/>
        </w:rPr>
        <w:t>there does not exist any match (A, B) by which both A and B would be individually better off than they are with the element to which they are currently matched</w:t>
      </w:r>
      <w:r w:rsidR="00B47CC4" w:rsidRPr="00B92006">
        <w:t xml:space="preserve">’ </w:t>
      </w:r>
      <w:r w:rsidR="00570FA4">
        <w:t>(Gale and Shapley, 1962; St</w:t>
      </w:r>
      <w:bookmarkStart w:id="3" w:name="_GoBack"/>
      <w:bookmarkEnd w:id="3"/>
      <w:r w:rsidR="00570FA4">
        <w:t>able marriage problem</w:t>
      </w:r>
      <w:r w:rsidR="00947368" w:rsidRPr="00190D6B">
        <w:t>, 2018)</w:t>
      </w:r>
      <w:r w:rsidR="00B47CC4" w:rsidRPr="00B92006">
        <w:t xml:space="preserve">. </w:t>
      </w:r>
      <w:r w:rsidR="00B7044B" w:rsidRPr="00B92006">
        <w:t xml:space="preserve"> </w:t>
      </w:r>
      <w:r w:rsidR="001D2776" w:rsidRPr="00B92006">
        <w:t xml:space="preserve">In other words, stable matching does not contain ‘unstable pairs’, where man and woman are not matched but would prefer each other (over their </w:t>
      </w:r>
      <w:r w:rsidR="00720504" w:rsidRPr="00B92006">
        <w:t>matched</w:t>
      </w:r>
      <w:r w:rsidR="001D2776" w:rsidRPr="00B92006">
        <w:t xml:space="preserve"> partner). </w:t>
      </w:r>
      <w:r w:rsidR="00B47CC4" w:rsidRPr="00B92006">
        <w:t xml:space="preserve">Preferences are given by partnership index. </w:t>
      </w:r>
    </w:p>
    <w:p w14:paraId="6C13DC6A" w14:textId="33D6D264" w:rsidR="005D44F8" w:rsidRPr="00B92006" w:rsidRDefault="00B47CC4" w:rsidP="005D44F8">
      <w:pPr>
        <w:pStyle w:val="NSMnormal"/>
      </w:pPr>
      <w:r w:rsidRPr="00B92006">
        <w:t xml:space="preserve">Finally, </w:t>
      </w:r>
      <w:r w:rsidR="00982254">
        <w:t xml:space="preserve">the </w:t>
      </w:r>
      <w:r w:rsidRPr="00B92006">
        <w:t xml:space="preserve">threshold is set on a level that produces </w:t>
      </w:r>
      <w:r w:rsidR="00982254">
        <w:t xml:space="preserve">the </w:t>
      </w:r>
      <w:r w:rsidRPr="00B92006">
        <w:t xml:space="preserve">same proportion of partners as in original data. Only </w:t>
      </w:r>
      <w:r w:rsidR="004F108B" w:rsidRPr="00B92006">
        <w:t>quasi</w:t>
      </w:r>
      <w:r w:rsidR="00625582" w:rsidRPr="00B92006">
        <w:t>-</w:t>
      </w:r>
      <w:r w:rsidR="004F108B" w:rsidRPr="00B92006">
        <w:t xml:space="preserve">couples from stable matching that exceeded </w:t>
      </w:r>
      <w:r w:rsidR="00982254">
        <w:t xml:space="preserve">the </w:t>
      </w:r>
      <w:r w:rsidR="004F108B" w:rsidRPr="00B92006">
        <w:t xml:space="preserve">threshold were classified </w:t>
      </w:r>
      <w:r w:rsidR="00982254">
        <w:t>as</w:t>
      </w:r>
      <w:r w:rsidR="004F108B" w:rsidRPr="00B92006">
        <w:t xml:space="preserve"> partners.</w:t>
      </w:r>
      <w:r w:rsidR="001316E3" w:rsidRPr="00B92006">
        <w:t xml:space="preserve"> The list of model</w:t>
      </w:r>
      <w:r w:rsidR="00625582" w:rsidRPr="00B92006">
        <w:t>-</w:t>
      </w:r>
      <w:r w:rsidR="001316E3" w:rsidRPr="00B92006">
        <w:t>predicted couples serves as an input in family construction.</w:t>
      </w:r>
    </w:p>
    <w:p w14:paraId="50FBACD8" w14:textId="405F33E6" w:rsidR="00CE0D93" w:rsidRPr="00B92006" w:rsidRDefault="00CE0D93" w:rsidP="005D44F8">
      <w:pPr>
        <w:pStyle w:val="NSMpealkiri2"/>
      </w:pPr>
      <w:r w:rsidRPr="00B92006">
        <w:t xml:space="preserve">3. </w:t>
      </w:r>
      <w:r w:rsidR="00493A78" w:rsidRPr="00B92006">
        <w:t>Comparative Survey of Household and Place of Residence</w:t>
      </w:r>
    </w:p>
    <w:p w14:paraId="4F71C0ED" w14:textId="4DE93F87" w:rsidR="009831B8" w:rsidRPr="00B92006" w:rsidRDefault="004F108B" w:rsidP="006B1F86">
      <w:pPr>
        <w:spacing w:before="360"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92006">
        <w:rPr>
          <w:rFonts w:ascii="Arial" w:hAnsi="Arial" w:cs="Arial"/>
          <w:sz w:val="24"/>
          <w:szCs w:val="24"/>
          <w:lang w:val="en-GB"/>
        </w:rPr>
        <w:t>Comparative Survey of Household and Place of Residence (CSHPR)</w:t>
      </w:r>
      <w:r w:rsidR="00DA7A8F" w:rsidRPr="00B92006">
        <w:rPr>
          <w:rFonts w:ascii="Arial" w:hAnsi="Arial" w:cs="Arial"/>
          <w:sz w:val="24"/>
          <w:szCs w:val="24"/>
          <w:lang w:val="en-GB"/>
        </w:rPr>
        <w:t xml:space="preserve"> </w:t>
      </w:r>
      <w:r w:rsidR="001E7BF2" w:rsidRPr="00B92006">
        <w:rPr>
          <w:rFonts w:ascii="Arial" w:hAnsi="Arial" w:cs="Arial"/>
          <w:sz w:val="24"/>
          <w:szCs w:val="24"/>
          <w:lang w:val="en-GB"/>
        </w:rPr>
        <w:t xml:space="preserve">was conducted in 2018 </w:t>
      </w:r>
      <w:r w:rsidR="00B63600" w:rsidRPr="00B92006">
        <w:rPr>
          <w:rFonts w:ascii="Arial" w:hAnsi="Arial" w:cs="Arial"/>
          <w:sz w:val="24"/>
          <w:szCs w:val="24"/>
          <w:lang w:val="en-GB"/>
        </w:rPr>
        <w:t xml:space="preserve">by Statistics Estonia </w:t>
      </w:r>
      <w:r w:rsidR="001E7BF2" w:rsidRPr="00B92006">
        <w:rPr>
          <w:rFonts w:ascii="Arial" w:hAnsi="Arial" w:cs="Arial"/>
          <w:sz w:val="24"/>
          <w:szCs w:val="24"/>
          <w:lang w:val="en-GB"/>
        </w:rPr>
        <w:t xml:space="preserve">to </w:t>
      </w:r>
    </w:p>
    <w:p w14:paraId="5103A302" w14:textId="77777777" w:rsidR="009831B8" w:rsidRPr="00B92006" w:rsidRDefault="001E7BF2" w:rsidP="009831B8">
      <w:pPr>
        <w:pStyle w:val="ListParagraph"/>
        <w:numPr>
          <w:ilvl w:val="0"/>
          <w:numId w:val="6"/>
        </w:numPr>
        <w:spacing w:before="360"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92006">
        <w:rPr>
          <w:rFonts w:ascii="Arial" w:hAnsi="Arial" w:cs="Arial"/>
          <w:sz w:val="24"/>
          <w:szCs w:val="24"/>
          <w:lang w:val="en-GB"/>
        </w:rPr>
        <w:t>provide external validation for indexes in population statistics</w:t>
      </w:r>
      <w:r w:rsidR="009831B8" w:rsidRPr="00B92006">
        <w:rPr>
          <w:rFonts w:ascii="Arial" w:hAnsi="Arial" w:cs="Arial"/>
          <w:sz w:val="24"/>
          <w:szCs w:val="24"/>
          <w:lang w:val="en-GB"/>
        </w:rPr>
        <w:t xml:space="preserve">, </w:t>
      </w:r>
    </w:p>
    <w:p w14:paraId="2474E8A0" w14:textId="0B1BE1C8" w:rsidR="009831B8" w:rsidRPr="00B92006" w:rsidRDefault="009831B8" w:rsidP="009831B8">
      <w:pPr>
        <w:pStyle w:val="ListParagraph"/>
        <w:numPr>
          <w:ilvl w:val="0"/>
          <w:numId w:val="6"/>
        </w:numPr>
        <w:spacing w:before="360"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92006">
        <w:rPr>
          <w:rFonts w:ascii="Arial" w:hAnsi="Arial" w:cs="Arial"/>
          <w:sz w:val="24"/>
          <w:szCs w:val="24"/>
          <w:lang w:val="en-GB"/>
        </w:rPr>
        <w:lastRenderedPageBreak/>
        <w:t>compare data collection methods</w:t>
      </w:r>
      <w:r w:rsidR="00F65724" w:rsidRPr="00B92006">
        <w:rPr>
          <w:rFonts w:ascii="Arial" w:hAnsi="Arial" w:cs="Arial"/>
          <w:sz w:val="24"/>
          <w:szCs w:val="24"/>
          <w:lang w:val="en-GB"/>
        </w:rPr>
        <w:t xml:space="preserve"> (CAPI </w:t>
      </w:r>
      <w:r w:rsidR="00F65724" w:rsidRPr="00B92006">
        <w:rPr>
          <w:rFonts w:ascii="Arial" w:hAnsi="Arial" w:cs="Arial"/>
          <w:i/>
          <w:sz w:val="24"/>
          <w:szCs w:val="24"/>
          <w:lang w:val="en-GB"/>
        </w:rPr>
        <w:t>vs.</w:t>
      </w:r>
      <w:r w:rsidR="00F65724" w:rsidRPr="00B92006">
        <w:rPr>
          <w:rFonts w:ascii="Arial" w:hAnsi="Arial" w:cs="Arial"/>
          <w:sz w:val="24"/>
          <w:szCs w:val="24"/>
          <w:lang w:val="en-GB"/>
        </w:rPr>
        <w:t xml:space="preserve"> CAWI and CAPI)</w:t>
      </w:r>
      <w:r w:rsidRPr="00B92006">
        <w:rPr>
          <w:rFonts w:ascii="Arial" w:hAnsi="Arial" w:cs="Arial"/>
          <w:sz w:val="24"/>
          <w:szCs w:val="24"/>
          <w:lang w:val="en-GB"/>
        </w:rPr>
        <w:t>,</w:t>
      </w:r>
    </w:p>
    <w:p w14:paraId="4E36C9AF" w14:textId="6DF5D508" w:rsidR="009831B8" w:rsidRPr="00B92006" w:rsidRDefault="009831B8" w:rsidP="009831B8">
      <w:pPr>
        <w:pStyle w:val="ListParagraph"/>
        <w:numPr>
          <w:ilvl w:val="0"/>
          <w:numId w:val="6"/>
        </w:numPr>
        <w:spacing w:before="360"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B92006">
        <w:rPr>
          <w:rFonts w:ascii="Arial" w:hAnsi="Arial" w:cs="Arial"/>
          <w:sz w:val="24"/>
          <w:szCs w:val="24"/>
          <w:lang w:val="en-GB"/>
        </w:rPr>
        <w:t>check</w:t>
      </w:r>
      <w:proofErr w:type="gramEnd"/>
      <w:r w:rsidRPr="00B92006">
        <w:rPr>
          <w:rFonts w:ascii="Arial" w:hAnsi="Arial" w:cs="Arial"/>
          <w:sz w:val="24"/>
          <w:szCs w:val="24"/>
          <w:lang w:val="en-GB"/>
        </w:rPr>
        <w:t xml:space="preserve"> e</w:t>
      </w:r>
      <w:r w:rsidR="00625582" w:rsidRPr="00B92006">
        <w:rPr>
          <w:rFonts w:ascii="Arial" w:hAnsi="Arial" w:cs="Arial"/>
          <w:sz w:val="24"/>
          <w:szCs w:val="24"/>
          <w:lang w:val="en-GB"/>
        </w:rPr>
        <w:t>-</w:t>
      </w:r>
      <w:r w:rsidRPr="00B92006">
        <w:rPr>
          <w:rFonts w:ascii="Arial" w:hAnsi="Arial" w:cs="Arial"/>
          <w:sz w:val="24"/>
          <w:szCs w:val="24"/>
          <w:lang w:val="en-GB"/>
        </w:rPr>
        <w:t>mail access to people without place of residence in PR.</w:t>
      </w:r>
    </w:p>
    <w:p w14:paraId="2AEED5AB" w14:textId="7F30975E" w:rsidR="004F108B" w:rsidRPr="00B92006" w:rsidRDefault="001E7BF2" w:rsidP="006B1F86">
      <w:pPr>
        <w:spacing w:before="360"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92006">
        <w:rPr>
          <w:rFonts w:ascii="Arial" w:hAnsi="Arial" w:cs="Arial"/>
          <w:sz w:val="24"/>
          <w:szCs w:val="24"/>
          <w:lang w:val="en-GB"/>
        </w:rPr>
        <w:t xml:space="preserve">In this paper, we </w:t>
      </w:r>
      <w:r w:rsidR="00A86CA6">
        <w:rPr>
          <w:rFonts w:ascii="Arial" w:hAnsi="Arial" w:cs="Arial"/>
          <w:sz w:val="24"/>
          <w:szCs w:val="24"/>
          <w:lang w:val="en-GB"/>
        </w:rPr>
        <w:t>discuss</w:t>
      </w:r>
      <w:r w:rsidRPr="00B92006">
        <w:rPr>
          <w:rFonts w:ascii="Arial" w:hAnsi="Arial" w:cs="Arial"/>
          <w:sz w:val="24"/>
          <w:szCs w:val="24"/>
          <w:lang w:val="en-GB"/>
        </w:rPr>
        <w:t xml:space="preserve"> </w:t>
      </w:r>
      <w:r w:rsidR="009831B8" w:rsidRPr="00B92006">
        <w:rPr>
          <w:rFonts w:ascii="Arial" w:hAnsi="Arial" w:cs="Arial"/>
          <w:sz w:val="24"/>
          <w:szCs w:val="24"/>
          <w:lang w:val="en-GB"/>
        </w:rPr>
        <w:t>only the first</w:t>
      </w:r>
      <w:r w:rsidRPr="00B92006">
        <w:rPr>
          <w:rFonts w:ascii="Arial" w:hAnsi="Arial" w:cs="Arial"/>
          <w:sz w:val="24"/>
          <w:szCs w:val="24"/>
          <w:lang w:val="en-GB"/>
        </w:rPr>
        <w:t xml:space="preserve"> part of th</w:t>
      </w:r>
      <w:r w:rsidR="009831B8" w:rsidRPr="00B92006">
        <w:rPr>
          <w:rFonts w:ascii="Arial" w:hAnsi="Arial" w:cs="Arial"/>
          <w:sz w:val="24"/>
          <w:szCs w:val="24"/>
          <w:lang w:val="en-GB"/>
        </w:rPr>
        <w:t>is survey that allows estimat</w:t>
      </w:r>
      <w:r w:rsidR="00832FD3">
        <w:rPr>
          <w:rFonts w:ascii="Arial" w:hAnsi="Arial" w:cs="Arial"/>
          <w:sz w:val="24"/>
          <w:szCs w:val="24"/>
          <w:lang w:val="en-GB"/>
        </w:rPr>
        <w:t>ing</w:t>
      </w:r>
      <w:r w:rsidR="009831B8" w:rsidRPr="00B92006">
        <w:rPr>
          <w:rFonts w:ascii="Arial" w:hAnsi="Arial" w:cs="Arial"/>
          <w:sz w:val="24"/>
          <w:szCs w:val="24"/>
          <w:lang w:val="en-GB"/>
        </w:rPr>
        <w:t xml:space="preserve"> the </w:t>
      </w:r>
      <w:r w:rsidR="001D7517" w:rsidRPr="00B92006">
        <w:rPr>
          <w:rFonts w:ascii="Arial" w:hAnsi="Arial" w:cs="Arial"/>
          <w:sz w:val="24"/>
          <w:szCs w:val="24"/>
          <w:lang w:val="en-GB"/>
        </w:rPr>
        <w:t>val</w:t>
      </w:r>
      <w:r w:rsidR="0006049B" w:rsidRPr="00B92006">
        <w:rPr>
          <w:rFonts w:ascii="Arial" w:hAnsi="Arial" w:cs="Arial"/>
          <w:sz w:val="24"/>
          <w:szCs w:val="24"/>
          <w:lang w:val="en-GB"/>
        </w:rPr>
        <w:t>i</w:t>
      </w:r>
      <w:r w:rsidR="001D7517" w:rsidRPr="00B92006">
        <w:rPr>
          <w:rFonts w:ascii="Arial" w:hAnsi="Arial" w:cs="Arial"/>
          <w:sz w:val="24"/>
          <w:szCs w:val="24"/>
          <w:lang w:val="en-GB"/>
        </w:rPr>
        <w:t xml:space="preserve">dity </w:t>
      </w:r>
      <w:r w:rsidR="009831B8" w:rsidRPr="00B92006">
        <w:rPr>
          <w:rFonts w:ascii="Arial" w:hAnsi="Arial" w:cs="Arial"/>
          <w:sz w:val="24"/>
          <w:szCs w:val="24"/>
          <w:lang w:val="en-GB"/>
        </w:rPr>
        <w:t xml:space="preserve">of </w:t>
      </w:r>
      <w:r w:rsidR="00D8370C" w:rsidRPr="00B92006">
        <w:rPr>
          <w:rFonts w:ascii="Arial" w:hAnsi="Arial" w:cs="Arial"/>
          <w:sz w:val="24"/>
          <w:szCs w:val="24"/>
          <w:lang w:val="en-GB"/>
        </w:rPr>
        <w:t xml:space="preserve">the </w:t>
      </w:r>
      <w:r w:rsidR="00FA0B10" w:rsidRPr="00B92006">
        <w:rPr>
          <w:rFonts w:ascii="Arial" w:hAnsi="Arial" w:cs="Arial"/>
          <w:sz w:val="24"/>
          <w:szCs w:val="24"/>
          <w:lang w:val="en-GB"/>
        </w:rPr>
        <w:t>partnership index</w:t>
      </w:r>
      <w:r w:rsidR="00FA0B10">
        <w:rPr>
          <w:rFonts w:ascii="Arial" w:hAnsi="Arial" w:cs="Arial"/>
          <w:sz w:val="24"/>
          <w:szCs w:val="24"/>
          <w:lang w:val="en-GB"/>
        </w:rPr>
        <w:t xml:space="preserve"> in register-based family formation. </w:t>
      </w:r>
    </w:p>
    <w:p w14:paraId="10D14031" w14:textId="3D7FBB0B" w:rsidR="00F4659F" w:rsidRPr="00B92006" w:rsidRDefault="00287416" w:rsidP="00287416">
      <w:pPr>
        <w:pStyle w:val="NSMnormal"/>
      </w:pPr>
      <w:r w:rsidRPr="00B92006">
        <w:t>The target population consist</w:t>
      </w:r>
      <w:r w:rsidR="008A075F" w:rsidRPr="00B92006">
        <w:t>ed</w:t>
      </w:r>
      <w:r w:rsidRPr="00B92006">
        <w:t xml:space="preserve"> of conventional dwellings and occupied non</w:t>
      </w:r>
      <w:r w:rsidR="00625582" w:rsidRPr="00B92006">
        <w:t>-</w:t>
      </w:r>
      <w:r w:rsidRPr="00B92006">
        <w:t xml:space="preserve">residential buildings </w:t>
      </w:r>
      <w:r w:rsidR="00A86CA6">
        <w:t>as at</w:t>
      </w:r>
      <w:r w:rsidRPr="00B92006">
        <w:t xml:space="preserve"> </w:t>
      </w:r>
      <w:r w:rsidR="0006049B" w:rsidRPr="00B92006">
        <w:t xml:space="preserve">1 January </w:t>
      </w:r>
      <w:r w:rsidRPr="00B92006">
        <w:t xml:space="preserve">2018. </w:t>
      </w:r>
      <w:r w:rsidR="00F4659F" w:rsidRPr="00B92006">
        <w:t>The s</w:t>
      </w:r>
      <w:r w:rsidRPr="00B92006">
        <w:t xml:space="preserve">ampling frame was combined from </w:t>
      </w:r>
      <w:r w:rsidR="00A86CA6">
        <w:t xml:space="preserve">the </w:t>
      </w:r>
      <w:r w:rsidR="008A075F" w:rsidRPr="00B92006">
        <w:t xml:space="preserve">Address Data System, Estonian Register of Buildings and PR. The </w:t>
      </w:r>
      <w:r w:rsidR="00F4659F" w:rsidRPr="00B92006">
        <w:t>list of addresses was stratified by size and type of administrative/settlement unit</w:t>
      </w:r>
      <w:r w:rsidR="00D8370C" w:rsidRPr="00B92006">
        <w:t>s</w:t>
      </w:r>
      <w:r w:rsidR="00F4659F" w:rsidRPr="00B92006">
        <w:t xml:space="preserve"> into six strata:</w:t>
      </w:r>
    </w:p>
    <w:p w14:paraId="34BFFAB1" w14:textId="36D632FA" w:rsidR="008A075F" w:rsidRPr="00B92006" w:rsidRDefault="00F4659F" w:rsidP="00F4659F">
      <w:pPr>
        <w:pStyle w:val="NSMnormal"/>
        <w:numPr>
          <w:ilvl w:val="0"/>
          <w:numId w:val="8"/>
        </w:numPr>
      </w:pPr>
      <w:r w:rsidRPr="00B92006">
        <w:t>Tallinn (the capital city)</w:t>
      </w:r>
      <w:r w:rsidR="00315350" w:rsidRPr="00B92006">
        <w:t>,</w:t>
      </w:r>
    </w:p>
    <w:p w14:paraId="0F9F6C6D" w14:textId="417DC5E2" w:rsidR="00F4659F" w:rsidRPr="00B92006" w:rsidRDefault="00315350" w:rsidP="00F4659F">
      <w:pPr>
        <w:pStyle w:val="NSMnormal"/>
        <w:numPr>
          <w:ilvl w:val="0"/>
          <w:numId w:val="8"/>
        </w:numPr>
      </w:pPr>
      <w:r w:rsidRPr="00B92006">
        <w:t>c</w:t>
      </w:r>
      <w:r w:rsidR="00EC7D8E" w:rsidRPr="00B92006">
        <w:t>ounty centr</w:t>
      </w:r>
      <w:r w:rsidR="00A86CA6">
        <w:t>e</w:t>
      </w:r>
      <w:r w:rsidR="00EC7D8E" w:rsidRPr="00B92006">
        <w:t>s w</w:t>
      </w:r>
      <w:r w:rsidR="000432E5" w:rsidRPr="00B92006">
        <w:t>ith more than 8000 inhabitants</w:t>
      </w:r>
      <w:r w:rsidR="00A86CA6">
        <w:t>,</w:t>
      </w:r>
      <w:r w:rsidR="000432E5" w:rsidRPr="00B92006">
        <w:t xml:space="preserve"> and</w:t>
      </w:r>
      <w:r w:rsidR="00EC7D8E" w:rsidRPr="00B92006">
        <w:t xml:space="preserve"> </w:t>
      </w:r>
      <w:proofErr w:type="spellStart"/>
      <w:r w:rsidR="00EC7D8E" w:rsidRPr="00B92006">
        <w:t>Keila</w:t>
      </w:r>
      <w:proofErr w:type="spellEnd"/>
      <w:r w:rsidR="00EC7D8E" w:rsidRPr="00B92006">
        <w:t xml:space="preserve"> and </w:t>
      </w:r>
      <w:proofErr w:type="spellStart"/>
      <w:r w:rsidR="00EC7D8E" w:rsidRPr="00B92006">
        <w:t>Maardu</w:t>
      </w:r>
      <w:proofErr w:type="spellEnd"/>
      <w:r w:rsidR="00EC7D8E" w:rsidRPr="00B92006">
        <w:t xml:space="preserve"> towns</w:t>
      </w:r>
      <w:r w:rsidRPr="00B92006">
        <w:t>,</w:t>
      </w:r>
    </w:p>
    <w:p w14:paraId="785E4564" w14:textId="53C42121" w:rsidR="00EC7D8E" w:rsidRPr="00B92006" w:rsidRDefault="00315350" w:rsidP="00F4659F">
      <w:pPr>
        <w:pStyle w:val="NSMnormal"/>
        <w:numPr>
          <w:ilvl w:val="0"/>
          <w:numId w:val="8"/>
        </w:numPr>
      </w:pPr>
      <w:r w:rsidRPr="00B92006">
        <w:t>l</w:t>
      </w:r>
      <w:r w:rsidR="00EC7D8E" w:rsidRPr="00B92006">
        <w:t>arger towns from Ida</w:t>
      </w:r>
      <w:r w:rsidR="00625582" w:rsidRPr="00B92006">
        <w:t>-</w:t>
      </w:r>
      <w:proofErr w:type="spellStart"/>
      <w:r w:rsidR="00EC7D8E" w:rsidRPr="00B92006">
        <w:t>Viru</w:t>
      </w:r>
      <w:proofErr w:type="spellEnd"/>
      <w:r w:rsidR="00EC7D8E" w:rsidRPr="00B92006">
        <w:t xml:space="preserve"> county (mainly Russian</w:t>
      </w:r>
      <w:r w:rsidR="00625582" w:rsidRPr="00B92006">
        <w:t>-</w:t>
      </w:r>
      <w:r w:rsidR="00EC7D8E" w:rsidRPr="00B92006">
        <w:t>speaking population)</w:t>
      </w:r>
      <w:r w:rsidRPr="00B92006">
        <w:t>,</w:t>
      </w:r>
    </w:p>
    <w:p w14:paraId="486A43AE" w14:textId="2712DADD" w:rsidR="00EC7D8E" w:rsidRPr="00B92006" w:rsidRDefault="00315350" w:rsidP="00F4659F">
      <w:pPr>
        <w:pStyle w:val="NSMnormal"/>
        <w:numPr>
          <w:ilvl w:val="0"/>
          <w:numId w:val="8"/>
        </w:numPr>
      </w:pPr>
      <w:r w:rsidRPr="00B92006">
        <w:t>o</w:t>
      </w:r>
      <w:r w:rsidR="00EC7D8E" w:rsidRPr="00B92006">
        <w:t>ther small towns</w:t>
      </w:r>
      <w:r w:rsidRPr="00B92006">
        <w:t>,</w:t>
      </w:r>
    </w:p>
    <w:p w14:paraId="104F8AD3" w14:textId="46488D1F" w:rsidR="00EC7D8E" w:rsidRPr="00B92006" w:rsidRDefault="00315350" w:rsidP="00F4659F">
      <w:pPr>
        <w:pStyle w:val="NSMnormal"/>
        <w:numPr>
          <w:ilvl w:val="0"/>
          <w:numId w:val="8"/>
        </w:numPr>
      </w:pPr>
      <w:r w:rsidRPr="00B92006">
        <w:t>s</w:t>
      </w:r>
      <w:r w:rsidR="00EC7D8E" w:rsidRPr="00B92006">
        <w:t xml:space="preserve">even municipalities </w:t>
      </w:r>
      <w:r w:rsidRPr="00B92006">
        <w:t>surrounding</w:t>
      </w:r>
      <w:r w:rsidR="00EC7D8E" w:rsidRPr="00B92006">
        <w:t xml:space="preserve"> Tallinn</w:t>
      </w:r>
      <w:r w:rsidRPr="00B92006">
        <w:t xml:space="preserve"> (suburban area),</w:t>
      </w:r>
    </w:p>
    <w:p w14:paraId="0F811B90" w14:textId="759EB6A1" w:rsidR="00EC7D8E" w:rsidRPr="00B92006" w:rsidRDefault="00315350" w:rsidP="00F4659F">
      <w:pPr>
        <w:pStyle w:val="NSMnormal"/>
        <w:numPr>
          <w:ilvl w:val="0"/>
          <w:numId w:val="8"/>
        </w:numPr>
      </w:pPr>
      <w:proofErr w:type="gramStart"/>
      <w:r w:rsidRPr="00B92006">
        <w:t>o</w:t>
      </w:r>
      <w:r w:rsidR="00EC7D8E" w:rsidRPr="00B92006">
        <w:t>ther</w:t>
      </w:r>
      <w:proofErr w:type="gramEnd"/>
      <w:r w:rsidR="00EC7D8E" w:rsidRPr="00B92006">
        <w:t xml:space="preserve"> rural districts</w:t>
      </w:r>
      <w:r w:rsidRPr="00B92006">
        <w:t>.</w:t>
      </w:r>
    </w:p>
    <w:p w14:paraId="425D904F" w14:textId="75383E8B" w:rsidR="001563E0" w:rsidRPr="00B92006" w:rsidRDefault="001563E0" w:rsidP="001563E0">
      <w:pPr>
        <w:pStyle w:val="NSMnormal"/>
      </w:pPr>
      <w:r w:rsidRPr="00B92006">
        <w:t>In the strata 1</w:t>
      </w:r>
      <w:r w:rsidR="007E4962">
        <w:rPr>
          <w:shd w:val="clear" w:color="auto" w:fill="FFFFFF"/>
        </w:rPr>
        <w:t>–</w:t>
      </w:r>
      <w:r w:rsidRPr="00B92006">
        <w:t>3 and 5, addresses were sampled systematically. In strata 4 and 6, two</w:t>
      </w:r>
      <w:r w:rsidR="00625582" w:rsidRPr="00B92006">
        <w:t>-</w:t>
      </w:r>
      <w:r w:rsidRPr="00B92006">
        <w:t xml:space="preserve">stage sampling was employed. In the first stage, </w:t>
      </w:r>
      <w:r w:rsidR="001505C7" w:rsidRPr="00B92006">
        <w:t>clusters (towns/localities) were sampled systematically proportional to size. Among the selected clusters, addresses were s</w:t>
      </w:r>
      <w:r w:rsidR="00D8370C" w:rsidRPr="00B92006">
        <w:t>ample</w:t>
      </w:r>
      <w:r w:rsidR="00B574D9" w:rsidRPr="00B92006">
        <w:t xml:space="preserve">d systematically. </w:t>
      </w:r>
      <w:r w:rsidR="005A2A25" w:rsidRPr="00B92006">
        <w:t>In total, the sample consisted of 7</w:t>
      </w:r>
      <w:r w:rsidR="005A4234" w:rsidRPr="00B92006">
        <w:t xml:space="preserve">519 </w:t>
      </w:r>
      <w:r w:rsidR="005A2A25" w:rsidRPr="00B92006">
        <w:t xml:space="preserve">dwellings. </w:t>
      </w:r>
    </w:p>
    <w:p w14:paraId="5AF71EA3" w14:textId="022829F3" w:rsidR="00B574D9" w:rsidRPr="00B92006" w:rsidRDefault="00EB596C" w:rsidP="00F65724">
      <w:pPr>
        <w:pStyle w:val="NSMnormal"/>
      </w:pPr>
      <w:r w:rsidRPr="00B92006">
        <w:t xml:space="preserve">The survey was conducted from May to October 2018. </w:t>
      </w:r>
      <w:r w:rsidR="00B574D9" w:rsidRPr="00B92006">
        <w:t>Computer</w:t>
      </w:r>
      <w:r w:rsidR="00625582" w:rsidRPr="00B92006">
        <w:t>-</w:t>
      </w:r>
      <w:r w:rsidR="00B574D9" w:rsidRPr="00B92006">
        <w:t xml:space="preserve">assisted personal interviews were used </w:t>
      </w:r>
      <w:r w:rsidR="00A86CA6">
        <w:t>for</w:t>
      </w:r>
      <w:r w:rsidR="00B574D9" w:rsidRPr="00B92006">
        <w:t xml:space="preserve"> data collection. Altogether, </w:t>
      </w:r>
      <w:r w:rsidR="009A11E9" w:rsidRPr="00B92006">
        <w:t xml:space="preserve">data was collected on </w:t>
      </w:r>
      <w:r w:rsidR="00B574D9" w:rsidRPr="00B92006">
        <w:t>5256 households in 5052 dwellings</w:t>
      </w:r>
      <w:r w:rsidR="00EE5849" w:rsidRPr="00B92006">
        <w:t>.</w:t>
      </w:r>
      <w:r w:rsidR="00B574D9" w:rsidRPr="00B92006">
        <w:t xml:space="preserve"> </w:t>
      </w:r>
      <w:r w:rsidRPr="00B92006">
        <w:t>The response rate</w:t>
      </w:r>
      <w:r w:rsidR="00C00E95" w:rsidRPr="00B92006">
        <w:t>, after correcting for sample frame errors</w:t>
      </w:r>
      <w:r w:rsidR="00A86CA6">
        <w:t xml:space="preserve"> </w:t>
      </w:r>
      <w:r w:rsidR="007E4962">
        <w:rPr>
          <w:shd w:val="clear" w:color="auto" w:fill="FFFFFF"/>
        </w:rPr>
        <w:t>–</w:t>
      </w:r>
      <w:r w:rsidR="00A86CA6">
        <w:t xml:space="preserve"> </w:t>
      </w:r>
      <w:r w:rsidR="009244D7" w:rsidRPr="00B92006">
        <w:t xml:space="preserve">515 </w:t>
      </w:r>
      <w:r w:rsidR="00582D67" w:rsidRPr="00B92006">
        <w:t xml:space="preserve">missing dwellings and </w:t>
      </w:r>
      <w:r w:rsidR="00F45C4E" w:rsidRPr="00B92006">
        <w:t>dwellings used for business</w:t>
      </w:r>
      <w:r w:rsidR="00A86CA6">
        <w:t xml:space="preserve"> </w:t>
      </w:r>
      <w:r w:rsidR="007E4962">
        <w:rPr>
          <w:shd w:val="clear" w:color="auto" w:fill="FFFFFF"/>
        </w:rPr>
        <w:t>–</w:t>
      </w:r>
      <w:r w:rsidR="00582D67" w:rsidRPr="00B92006">
        <w:t xml:space="preserve"> </w:t>
      </w:r>
      <w:r w:rsidRPr="00B92006">
        <w:t>was</w:t>
      </w:r>
      <w:r w:rsidR="005A2A25" w:rsidRPr="00B92006">
        <w:t xml:space="preserve"> 86% (</w:t>
      </w:r>
      <w:r w:rsidR="005A4234" w:rsidRPr="00B92006">
        <w:t xml:space="preserve">939 </w:t>
      </w:r>
      <w:r w:rsidR="005A2A25" w:rsidRPr="00B92006">
        <w:t xml:space="preserve">unoccupied dwellings were considered </w:t>
      </w:r>
      <w:r w:rsidR="00660FB8" w:rsidRPr="00B92006">
        <w:t xml:space="preserve">as responses, because one goal of the survey was to determine </w:t>
      </w:r>
      <w:r w:rsidR="00A86CA6">
        <w:t xml:space="preserve">the </w:t>
      </w:r>
      <w:r w:rsidR="00660FB8" w:rsidRPr="00B92006">
        <w:t>share of such dwellings</w:t>
      </w:r>
      <w:r w:rsidR="005A2A25" w:rsidRPr="00B92006">
        <w:t>)</w:t>
      </w:r>
      <w:r w:rsidRPr="00B92006">
        <w:t xml:space="preserve">. </w:t>
      </w:r>
      <w:r w:rsidR="009A11E9" w:rsidRPr="00B92006">
        <w:t xml:space="preserve">Out of 11,165 inhabitants, 10,824 were permanent residents and will be included in </w:t>
      </w:r>
      <w:r w:rsidR="00D757AD" w:rsidRPr="00B92006">
        <w:t xml:space="preserve">the </w:t>
      </w:r>
      <w:r w:rsidR="009A11E9" w:rsidRPr="00B92006">
        <w:t xml:space="preserve">following analysis. </w:t>
      </w:r>
    </w:p>
    <w:p w14:paraId="4EF768CB" w14:textId="18509BEC" w:rsidR="00E64B4B" w:rsidRPr="00B92006" w:rsidRDefault="00EB596C" w:rsidP="006F510D">
      <w:pPr>
        <w:spacing w:before="360"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92006">
        <w:rPr>
          <w:rFonts w:ascii="Arial" w:hAnsi="Arial" w:cs="Arial"/>
          <w:sz w:val="24"/>
          <w:szCs w:val="24"/>
          <w:lang w:val="en-GB"/>
        </w:rPr>
        <w:t>O</w:t>
      </w:r>
      <w:r w:rsidR="00D757AD" w:rsidRPr="00B92006">
        <w:rPr>
          <w:rFonts w:ascii="Arial" w:hAnsi="Arial" w:cs="Arial"/>
          <w:sz w:val="24"/>
          <w:szCs w:val="24"/>
          <w:lang w:val="en-GB"/>
        </w:rPr>
        <w:t xml:space="preserve">n </w:t>
      </w:r>
      <w:r w:rsidR="007F4DDB" w:rsidRPr="00B92006">
        <w:rPr>
          <w:rFonts w:ascii="Arial" w:hAnsi="Arial" w:cs="Arial"/>
          <w:sz w:val="24"/>
          <w:szCs w:val="24"/>
          <w:lang w:val="en-GB"/>
        </w:rPr>
        <w:t>1 January</w:t>
      </w:r>
      <w:r w:rsidRPr="00B92006">
        <w:rPr>
          <w:rFonts w:ascii="Arial" w:hAnsi="Arial" w:cs="Arial"/>
          <w:sz w:val="24"/>
          <w:szCs w:val="24"/>
          <w:lang w:val="en-GB"/>
        </w:rPr>
        <w:t xml:space="preserve"> 2018, 8589 </w:t>
      </w:r>
      <w:r w:rsidR="00A71C2A" w:rsidRPr="00B92006">
        <w:rPr>
          <w:rFonts w:ascii="Arial" w:hAnsi="Arial" w:cs="Arial"/>
          <w:sz w:val="24"/>
          <w:szCs w:val="24"/>
          <w:lang w:val="en-GB"/>
        </w:rPr>
        <w:t>respondents</w:t>
      </w:r>
      <w:r w:rsidR="00A86CA6">
        <w:rPr>
          <w:rFonts w:ascii="Arial" w:hAnsi="Arial" w:cs="Arial"/>
          <w:sz w:val="24"/>
          <w:szCs w:val="24"/>
          <w:lang w:val="en-GB"/>
        </w:rPr>
        <w:t xml:space="preserve"> </w:t>
      </w:r>
      <w:r w:rsidR="007E4962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A86CA6">
        <w:rPr>
          <w:rFonts w:ascii="Arial" w:hAnsi="Arial" w:cs="Arial"/>
          <w:sz w:val="24"/>
          <w:szCs w:val="24"/>
          <w:lang w:val="en-GB"/>
        </w:rPr>
        <w:t xml:space="preserve"> </w:t>
      </w:r>
      <w:r w:rsidR="00A71C2A" w:rsidRPr="00B92006">
        <w:rPr>
          <w:rFonts w:ascii="Arial" w:hAnsi="Arial" w:cs="Arial"/>
          <w:sz w:val="24"/>
          <w:szCs w:val="24"/>
          <w:lang w:val="en-GB"/>
        </w:rPr>
        <w:t>3765 men and 4824 women</w:t>
      </w:r>
      <w:r w:rsidR="00A86CA6">
        <w:rPr>
          <w:rFonts w:ascii="Arial" w:hAnsi="Arial" w:cs="Arial"/>
          <w:sz w:val="24"/>
          <w:szCs w:val="24"/>
          <w:lang w:val="en-GB"/>
        </w:rPr>
        <w:t xml:space="preserve"> </w:t>
      </w:r>
      <w:r w:rsidR="007E4962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A86CA6">
        <w:rPr>
          <w:rFonts w:ascii="Arial" w:hAnsi="Arial" w:cs="Arial"/>
          <w:sz w:val="24"/>
          <w:szCs w:val="24"/>
          <w:lang w:val="en-GB"/>
        </w:rPr>
        <w:t xml:space="preserve"> </w:t>
      </w:r>
      <w:r w:rsidRPr="00B92006">
        <w:rPr>
          <w:rFonts w:ascii="Arial" w:hAnsi="Arial" w:cs="Arial"/>
          <w:sz w:val="24"/>
          <w:szCs w:val="24"/>
          <w:lang w:val="en-GB"/>
        </w:rPr>
        <w:t>were at least 18 years old</w:t>
      </w:r>
      <w:r w:rsidR="00A71C2A" w:rsidRPr="00B92006">
        <w:rPr>
          <w:rFonts w:ascii="Arial" w:hAnsi="Arial" w:cs="Arial"/>
          <w:sz w:val="24"/>
          <w:szCs w:val="24"/>
          <w:lang w:val="en-GB"/>
        </w:rPr>
        <w:t>. Majority of them appeared in at least one quasi</w:t>
      </w:r>
      <w:r w:rsidR="00625582" w:rsidRPr="00B92006">
        <w:rPr>
          <w:rFonts w:ascii="Arial" w:hAnsi="Arial" w:cs="Arial"/>
          <w:sz w:val="24"/>
          <w:szCs w:val="24"/>
          <w:lang w:val="en-GB"/>
        </w:rPr>
        <w:t>-</w:t>
      </w:r>
      <w:r w:rsidR="00A71C2A" w:rsidRPr="00B92006">
        <w:rPr>
          <w:rFonts w:ascii="Arial" w:hAnsi="Arial" w:cs="Arial"/>
          <w:sz w:val="24"/>
          <w:szCs w:val="24"/>
          <w:lang w:val="en-GB"/>
        </w:rPr>
        <w:t>couple (83% of men, 73% of women). CSHPR data included 2421 married and consensual union couples, 93% of them had at least one SOP. The partnership index classified 84% of CSHPR couples</w:t>
      </w:r>
      <w:r w:rsidR="00E64B4B" w:rsidRPr="00B92006">
        <w:rPr>
          <w:rFonts w:ascii="Arial" w:hAnsi="Arial" w:cs="Arial"/>
          <w:sz w:val="24"/>
          <w:szCs w:val="24"/>
          <w:lang w:val="en-GB"/>
        </w:rPr>
        <w:t xml:space="preserve"> </w:t>
      </w:r>
      <w:r w:rsidR="00E64B4B" w:rsidRPr="00B92006">
        <w:rPr>
          <w:rFonts w:ascii="Arial" w:hAnsi="Arial" w:cs="Arial"/>
          <w:sz w:val="24"/>
          <w:szCs w:val="24"/>
          <w:lang w:val="en-GB"/>
        </w:rPr>
        <w:lastRenderedPageBreak/>
        <w:t xml:space="preserve">correctly as partners. Another 9% had SOPs, but not enough to conclude partnership. </w:t>
      </w:r>
      <w:r w:rsidR="000E35D3">
        <w:rPr>
          <w:rFonts w:ascii="Arial" w:hAnsi="Arial" w:cs="Arial"/>
          <w:sz w:val="24"/>
          <w:szCs w:val="24"/>
          <w:lang w:val="en-GB"/>
        </w:rPr>
        <w:t>The r</w:t>
      </w:r>
      <w:r w:rsidR="00E64B4B" w:rsidRPr="00B92006">
        <w:rPr>
          <w:rFonts w:ascii="Arial" w:hAnsi="Arial" w:cs="Arial"/>
          <w:sz w:val="24"/>
          <w:szCs w:val="24"/>
          <w:lang w:val="en-GB"/>
        </w:rPr>
        <w:t>emaining 7% had no SOPs.</w:t>
      </w:r>
    </w:p>
    <w:p w14:paraId="5639CA78" w14:textId="4B5B9503" w:rsidR="00D757AD" w:rsidRPr="00B92006" w:rsidRDefault="00E64B4B" w:rsidP="006F510D">
      <w:pPr>
        <w:spacing w:before="360"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92006">
        <w:rPr>
          <w:rFonts w:ascii="Arial" w:hAnsi="Arial" w:cs="Arial"/>
          <w:sz w:val="24"/>
          <w:szCs w:val="24"/>
          <w:lang w:val="en-GB"/>
        </w:rPr>
        <w:t>The sensitivity of findin</w:t>
      </w:r>
      <w:r w:rsidR="00F76073" w:rsidRPr="00B92006">
        <w:rPr>
          <w:rFonts w:ascii="Arial" w:hAnsi="Arial" w:cs="Arial"/>
          <w:sz w:val="24"/>
          <w:szCs w:val="24"/>
          <w:lang w:val="en-GB"/>
        </w:rPr>
        <w:t>g actual couples varied by age. Only 63% of CSHPR couples with women under 30 were discovered by partnership index. In the older age groups</w:t>
      </w:r>
      <w:r w:rsidR="00B8313C" w:rsidRPr="00B92006">
        <w:rPr>
          <w:rFonts w:ascii="Arial" w:hAnsi="Arial" w:cs="Arial"/>
          <w:sz w:val="24"/>
          <w:szCs w:val="24"/>
          <w:lang w:val="en-GB"/>
        </w:rPr>
        <w:t xml:space="preserve">, the sensitivity was higher: 87% </w:t>
      </w:r>
      <w:r w:rsidR="00B1454E">
        <w:rPr>
          <w:rFonts w:ascii="Arial" w:hAnsi="Arial" w:cs="Arial"/>
          <w:sz w:val="24"/>
          <w:szCs w:val="24"/>
          <w:lang w:val="en-GB"/>
        </w:rPr>
        <w:t>for</w:t>
      </w:r>
      <w:r w:rsidR="00B8313C" w:rsidRPr="00B92006">
        <w:rPr>
          <w:rFonts w:ascii="Arial" w:hAnsi="Arial" w:cs="Arial"/>
          <w:sz w:val="24"/>
          <w:szCs w:val="24"/>
          <w:lang w:val="en-GB"/>
        </w:rPr>
        <w:t xml:space="preserve"> couples with woman aged 30</w:t>
      </w:r>
      <w:r w:rsidR="001E3927" w:rsidRPr="00B92006">
        <w:rPr>
          <w:rFonts w:ascii="Arial" w:hAnsi="Arial" w:cs="Arial"/>
          <w:sz w:val="24"/>
          <w:szCs w:val="24"/>
          <w:lang w:val="en-GB"/>
        </w:rPr>
        <w:t>–</w:t>
      </w:r>
      <w:r w:rsidR="00B8313C" w:rsidRPr="00B92006">
        <w:rPr>
          <w:rFonts w:ascii="Arial" w:hAnsi="Arial" w:cs="Arial"/>
          <w:sz w:val="24"/>
          <w:szCs w:val="24"/>
          <w:lang w:val="en-GB"/>
        </w:rPr>
        <w:t xml:space="preserve">59 and 91% </w:t>
      </w:r>
      <w:r w:rsidR="00B1454E">
        <w:rPr>
          <w:rFonts w:ascii="Arial" w:hAnsi="Arial" w:cs="Arial"/>
          <w:sz w:val="24"/>
          <w:szCs w:val="24"/>
          <w:lang w:val="en-GB"/>
        </w:rPr>
        <w:t>for</w:t>
      </w:r>
      <w:r w:rsidR="00B8313C" w:rsidRPr="00B92006">
        <w:rPr>
          <w:rFonts w:ascii="Arial" w:hAnsi="Arial" w:cs="Arial"/>
          <w:sz w:val="24"/>
          <w:szCs w:val="24"/>
          <w:lang w:val="en-GB"/>
        </w:rPr>
        <w:t xml:space="preserve"> </w:t>
      </w:r>
      <w:r w:rsidR="001130DB" w:rsidRPr="00B92006">
        <w:rPr>
          <w:rFonts w:ascii="Arial" w:hAnsi="Arial" w:cs="Arial"/>
          <w:sz w:val="24"/>
          <w:szCs w:val="24"/>
          <w:lang w:val="en-GB"/>
        </w:rPr>
        <w:t xml:space="preserve">older </w:t>
      </w:r>
      <w:r w:rsidR="00B8313C" w:rsidRPr="00B92006">
        <w:rPr>
          <w:rFonts w:ascii="Arial" w:hAnsi="Arial" w:cs="Arial"/>
          <w:sz w:val="24"/>
          <w:szCs w:val="24"/>
          <w:lang w:val="en-GB"/>
        </w:rPr>
        <w:t>couples (</w:t>
      </w:r>
      <w:r w:rsidR="001130DB" w:rsidRPr="00B92006">
        <w:rPr>
          <w:rFonts w:ascii="Arial" w:hAnsi="Arial" w:cs="Arial"/>
          <w:sz w:val="24"/>
          <w:szCs w:val="24"/>
          <w:lang w:val="en-GB"/>
        </w:rPr>
        <w:t xml:space="preserve">women </w:t>
      </w:r>
      <w:r w:rsidR="00B8313C" w:rsidRPr="00B92006">
        <w:rPr>
          <w:rFonts w:ascii="Arial" w:hAnsi="Arial" w:cs="Arial"/>
          <w:sz w:val="24"/>
          <w:szCs w:val="24"/>
          <w:lang w:val="en-GB"/>
        </w:rPr>
        <w:t>60+).</w:t>
      </w:r>
      <w:r w:rsidR="00660FB8" w:rsidRPr="00B92006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A75508B" w14:textId="4BFB68F8" w:rsidR="002B3D2F" w:rsidRPr="00B92006" w:rsidRDefault="007F4DDB" w:rsidP="006B1F86">
      <w:pPr>
        <w:spacing w:before="360"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92006">
        <w:rPr>
          <w:rFonts w:ascii="Arial" w:hAnsi="Arial" w:cs="Arial"/>
          <w:sz w:val="24"/>
          <w:szCs w:val="24"/>
          <w:lang w:val="en-GB"/>
        </w:rPr>
        <w:t xml:space="preserve">The </w:t>
      </w:r>
      <w:r w:rsidR="002B3D2F" w:rsidRPr="00B92006">
        <w:rPr>
          <w:rFonts w:ascii="Arial" w:hAnsi="Arial" w:cs="Arial"/>
          <w:sz w:val="24"/>
          <w:szCs w:val="24"/>
          <w:lang w:val="en-GB"/>
        </w:rPr>
        <w:t>CSHPR respondents appeared in 7971 quasi</w:t>
      </w:r>
      <w:r w:rsidR="00625582" w:rsidRPr="00B92006">
        <w:rPr>
          <w:rFonts w:ascii="Arial" w:hAnsi="Arial" w:cs="Arial"/>
          <w:sz w:val="24"/>
          <w:szCs w:val="24"/>
          <w:lang w:val="en-GB"/>
        </w:rPr>
        <w:t>-</w:t>
      </w:r>
      <w:r w:rsidR="002B3D2F" w:rsidRPr="00B92006">
        <w:rPr>
          <w:rFonts w:ascii="Arial" w:hAnsi="Arial" w:cs="Arial"/>
          <w:sz w:val="24"/>
          <w:szCs w:val="24"/>
          <w:lang w:val="en-GB"/>
        </w:rPr>
        <w:t xml:space="preserve">couples. </w:t>
      </w:r>
      <w:r w:rsidRPr="00B92006">
        <w:rPr>
          <w:rFonts w:ascii="Arial" w:hAnsi="Arial" w:cs="Arial"/>
          <w:sz w:val="24"/>
          <w:szCs w:val="24"/>
          <w:lang w:val="en-GB"/>
        </w:rPr>
        <w:t xml:space="preserve">Among them, </w:t>
      </w:r>
      <w:r w:rsidR="002B3D2F" w:rsidRPr="00B92006">
        <w:rPr>
          <w:rFonts w:ascii="Arial" w:hAnsi="Arial" w:cs="Arial"/>
          <w:sz w:val="24"/>
          <w:szCs w:val="24"/>
          <w:lang w:val="en-GB"/>
        </w:rPr>
        <w:t>5432 were classified as non</w:t>
      </w:r>
      <w:r w:rsidR="00625582" w:rsidRPr="00B92006">
        <w:rPr>
          <w:rFonts w:ascii="Arial" w:hAnsi="Arial" w:cs="Arial"/>
          <w:sz w:val="24"/>
          <w:szCs w:val="24"/>
          <w:lang w:val="en-GB"/>
        </w:rPr>
        <w:t>-</w:t>
      </w:r>
      <w:r w:rsidR="002B3D2F" w:rsidRPr="00B92006">
        <w:rPr>
          <w:rFonts w:ascii="Arial" w:hAnsi="Arial" w:cs="Arial"/>
          <w:sz w:val="24"/>
          <w:szCs w:val="24"/>
          <w:lang w:val="en-GB"/>
        </w:rPr>
        <w:t xml:space="preserve">partners, this decision was correct for 5213 (96%) of them. </w:t>
      </w:r>
      <w:r w:rsidR="006E3061" w:rsidRPr="00B92006">
        <w:rPr>
          <w:rFonts w:ascii="Arial" w:hAnsi="Arial" w:cs="Arial"/>
          <w:sz w:val="24"/>
          <w:szCs w:val="24"/>
          <w:lang w:val="en-GB"/>
        </w:rPr>
        <w:t xml:space="preserve">The negative predictive value was high in all ages. </w:t>
      </w:r>
    </w:p>
    <w:p w14:paraId="445ED507" w14:textId="36019556" w:rsidR="001130DB" w:rsidRPr="00B92006" w:rsidRDefault="001130DB" w:rsidP="006B1F86">
      <w:pPr>
        <w:spacing w:before="360"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92006">
        <w:rPr>
          <w:rFonts w:ascii="Arial" w:hAnsi="Arial" w:cs="Arial"/>
          <w:sz w:val="24"/>
          <w:szCs w:val="24"/>
          <w:lang w:val="en-GB"/>
        </w:rPr>
        <w:t>In the subsequent analysis</w:t>
      </w:r>
      <w:r w:rsidR="00C43E83" w:rsidRPr="00B92006">
        <w:rPr>
          <w:rFonts w:ascii="Arial" w:hAnsi="Arial" w:cs="Arial"/>
          <w:sz w:val="24"/>
          <w:szCs w:val="24"/>
          <w:lang w:val="en-GB"/>
        </w:rPr>
        <w:t xml:space="preserve"> of family characteristics</w:t>
      </w:r>
      <w:r w:rsidRPr="00B92006">
        <w:rPr>
          <w:rFonts w:ascii="Arial" w:hAnsi="Arial" w:cs="Arial"/>
          <w:sz w:val="24"/>
          <w:szCs w:val="24"/>
          <w:lang w:val="en-GB"/>
        </w:rPr>
        <w:t xml:space="preserve">, we </w:t>
      </w:r>
      <w:r w:rsidR="00A11B4B" w:rsidRPr="00B92006">
        <w:rPr>
          <w:rFonts w:ascii="Arial" w:hAnsi="Arial" w:cs="Arial"/>
          <w:sz w:val="24"/>
          <w:szCs w:val="24"/>
          <w:lang w:val="en-GB"/>
        </w:rPr>
        <w:t xml:space="preserve">use different datasets to </w:t>
      </w:r>
      <w:r w:rsidRPr="00B92006">
        <w:rPr>
          <w:rFonts w:ascii="Arial" w:hAnsi="Arial" w:cs="Arial"/>
          <w:sz w:val="24"/>
          <w:szCs w:val="24"/>
          <w:lang w:val="en-GB"/>
        </w:rPr>
        <w:t xml:space="preserve">form </w:t>
      </w:r>
      <w:r w:rsidR="00A11B4B" w:rsidRPr="00B92006">
        <w:rPr>
          <w:rFonts w:ascii="Arial" w:hAnsi="Arial" w:cs="Arial"/>
          <w:sz w:val="24"/>
          <w:szCs w:val="24"/>
          <w:lang w:val="en-GB"/>
        </w:rPr>
        <w:t>dwelling</w:t>
      </w:r>
      <w:r w:rsidR="00625582" w:rsidRPr="00B92006">
        <w:rPr>
          <w:rFonts w:ascii="Arial" w:hAnsi="Arial" w:cs="Arial"/>
          <w:sz w:val="24"/>
          <w:szCs w:val="24"/>
          <w:lang w:val="en-GB"/>
        </w:rPr>
        <w:t>-</w:t>
      </w:r>
      <w:r w:rsidR="00A11B4B" w:rsidRPr="00B92006">
        <w:rPr>
          <w:rFonts w:ascii="Arial" w:hAnsi="Arial" w:cs="Arial"/>
          <w:sz w:val="24"/>
          <w:szCs w:val="24"/>
          <w:lang w:val="en-GB"/>
        </w:rPr>
        <w:t>based households of CSHPR respondents:</w:t>
      </w:r>
    </w:p>
    <w:p w14:paraId="6060FCF0" w14:textId="3F1A6E99" w:rsidR="001130DB" w:rsidRPr="00B92006" w:rsidRDefault="001130DB" w:rsidP="001130DB">
      <w:pPr>
        <w:pStyle w:val="ListParagraph"/>
        <w:numPr>
          <w:ilvl w:val="0"/>
          <w:numId w:val="9"/>
        </w:numPr>
        <w:spacing w:before="360"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92006">
        <w:rPr>
          <w:rFonts w:ascii="Arial" w:hAnsi="Arial" w:cs="Arial"/>
          <w:sz w:val="24"/>
          <w:szCs w:val="24"/>
          <w:lang w:val="en-GB"/>
        </w:rPr>
        <w:t>CSHPR data</w:t>
      </w:r>
      <w:r w:rsidR="00FF163A" w:rsidRPr="00B92006">
        <w:rPr>
          <w:rFonts w:ascii="Arial" w:hAnsi="Arial" w:cs="Arial"/>
          <w:sz w:val="24"/>
          <w:szCs w:val="24"/>
          <w:lang w:val="en-GB"/>
        </w:rPr>
        <w:t>;</w:t>
      </w:r>
    </w:p>
    <w:p w14:paraId="246B6C90" w14:textId="7411CCB4" w:rsidR="001130DB" w:rsidRPr="00B92006" w:rsidRDefault="001130DB" w:rsidP="001130DB">
      <w:pPr>
        <w:pStyle w:val="ListParagraph"/>
        <w:numPr>
          <w:ilvl w:val="0"/>
          <w:numId w:val="9"/>
        </w:numPr>
        <w:spacing w:before="360"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92006">
        <w:rPr>
          <w:rFonts w:ascii="Arial" w:hAnsi="Arial" w:cs="Arial"/>
          <w:sz w:val="24"/>
          <w:szCs w:val="24"/>
          <w:lang w:val="en-GB"/>
        </w:rPr>
        <w:t>PR data</w:t>
      </w:r>
      <w:r w:rsidR="00FF163A" w:rsidRPr="00B92006">
        <w:rPr>
          <w:rFonts w:ascii="Arial" w:hAnsi="Arial" w:cs="Arial"/>
          <w:sz w:val="24"/>
          <w:szCs w:val="24"/>
          <w:lang w:val="en-GB"/>
        </w:rPr>
        <w:t>;</w:t>
      </w:r>
    </w:p>
    <w:p w14:paraId="225C3995" w14:textId="69E70F86" w:rsidR="000477EA" w:rsidRPr="00B92006" w:rsidRDefault="000477EA" w:rsidP="000477EA">
      <w:pPr>
        <w:pStyle w:val="ListParagraph"/>
        <w:numPr>
          <w:ilvl w:val="0"/>
          <w:numId w:val="9"/>
        </w:numPr>
        <w:spacing w:before="360"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92006">
        <w:rPr>
          <w:rFonts w:ascii="Arial" w:hAnsi="Arial" w:cs="Arial"/>
          <w:sz w:val="24"/>
          <w:szCs w:val="24"/>
          <w:lang w:val="en-GB"/>
        </w:rPr>
        <w:t>PR data</w:t>
      </w:r>
      <w:r w:rsidR="00FF163A" w:rsidRPr="00B92006">
        <w:rPr>
          <w:rFonts w:ascii="Arial" w:hAnsi="Arial" w:cs="Arial"/>
          <w:sz w:val="24"/>
          <w:szCs w:val="24"/>
          <w:lang w:val="en-GB"/>
        </w:rPr>
        <w:t>,</w:t>
      </w:r>
      <w:r w:rsidR="001130DB" w:rsidRPr="00B92006">
        <w:rPr>
          <w:rFonts w:ascii="Arial" w:hAnsi="Arial" w:cs="Arial"/>
          <w:sz w:val="24"/>
          <w:szCs w:val="24"/>
          <w:lang w:val="en-GB"/>
        </w:rPr>
        <w:t xml:space="preserve"> </w:t>
      </w:r>
      <w:r w:rsidR="00FF163A" w:rsidRPr="00B92006">
        <w:rPr>
          <w:rFonts w:ascii="Arial" w:hAnsi="Arial" w:cs="Arial"/>
          <w:sz w:val="24"/>
          <w:szCs w:val="24"/>
          <w:lang w:val="en-GB"/>
        </w:rPr>
        <w:t>data on partnership is calculated with partnership index.</w:t>
      </w:r>
    </w:p>
    <w:p w14:paraId="5CDF397B" w14:textId="71D0B85D" w:rsidR="002E47D8" w:rsidRPr="00B92006" w:rsidRDefault="000477EA" w:rsidP="000477EA">
      <w:pPr>
        <w:spacing w:before="360"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92006">
        <w:rPr>
          <w:rFonts w:ascii="Arial" w:hAnsi="Arial" w:cs="Arial"/>
          <w:sz w:val="24"/>
          <w:szCs w:val="24"/>
          <w:lang w:val="en-GB"/>
        </w:rPr>
        <w:t xml:space="preserve">Although CSHPR </w:t>
      </w:r>
      <w:r w:rsidR="00A11B4B" w:rsidRPr="00B92006">
        <w:rPr>
          <w:rFonts w:ascii="Arial" w:hAnsi="Arial" w:cs="Arial"/>
          <w:sz w:val="24"/>
          <w:szCs w:val="24"/>
          <w:lang w:val="en-GB"/>
        </w:rPr>
        <w:t xml:space="preserve">allows </w:t>
      </w:r>
      <w:r w:rsidR="00B1454E">
        <w:rPr>
          <w:rFonts w:ascii="Arial" w:hAnsi="Arial" w:cs="Arial"/>
          <w:sz w:val="24"/>
          <w:szCs w:val="24"/>
          <w:lang w:val="en-GB"/>
        </w:rPr>
        <w:t xml:space="preserve">the </w:t>
      </w:r>
      <w:r w:rsidR="00A11B4B" w:rsidRPr="00B92006">
        <w:rPr>
          <w:rFonts w:ascii="Arial" w:hAnsi="Arial" w:cs="Arial"/>
          <w:sz w:val="24"/>
          <w:szCs w:val="24"/>
          <w:lang w:val="en-GB"/>
        </w:rPr>
        <w:t>traditional housekeeping concept to define households, we prefer household</w:t>
      </w:r>
      <w:r w:rsidR="00625582" w:rsidRPr="00B92006">
        <w:rPr>
          <w:rFonts w:ascii="Arial" w:hAnsi="Arial" w:cs="Arial"/>
          <w:sz w:val="24"/>
          <w:szCs w:val="24"/>
          <w:lang w:val="en-GB"/>
        </w:rPr>
        <w:t>-</w:t>
      </w:r>
      <w:r w:rsidR="00A11B4B" w:rsidRPr="00B92006">
        <w:rPr>
          <w:rFonts w:ascii="Arial" w:hAnsi="Arial" w:cs="Arial"/>
          <w:sz w:val="24"/>
          <w:szCs w:val="24"/>
          <w:lang w:val="en-GB"/>
        </w:rPr>
        <w:t>dwelling concept that is more relevant for comparison with register</w:t>
      </w:r>
      <w:r w:rsidR="00625582" w:rsidRPr="00B92006">
        <w:rPr>
          <w:rFonts w:ascii="Arial" w:hAnsi="Arial" w:cs="Arial"/>
          <w:sz w:val="24"/>
          <w:szCs w:val="24"/>
          <w:lang w:val="en-GB"/>
        </w:rPr>
        <w:t>-</w:t>
      </w:r>
      <w:r w:rsidR="00A11B4B" w:rsidRPr="00B92006">
        <w:rPr>
          <w:rFonts w:ascii="Arial" w:hAnsi="Arial" w:cs="Arial"/>
          <w:sz w:val="24"/>
          <w:szCs w:val="24"/>
          <w:lang w:val="en-GB"/>
        </w:rPr>
        <w:t>based methods.</w:t>
      </w:r>
      <w:r w:rsidR="00743056" w:rsidRPr="00B92006">
        <w:rPr>
          <w:rFonts w:ascii="Arial" w:hAnsi="Arial" w:cs="Arial"/>
          <w:sz w:val="24"/>
          <w:szCs w:val="24"/>
          <w:lang w:val="en-GB"/>
        </w:rPr>
        <w:t xml:space="preserve"> </w:t>
      </w:r>
      <w:r w:rsidR="002E47D8" w:rsidRPr="00B92006">
        <w:rPr>
          <w:rFonts w:ascii="Arial" w:hAnsi="Arial" w:cs="Arial"/>
          <w:sz w:val="24"/>
          <w:szCs w:val="24"/>
          <w:lang w:val="en-GB"/>
        </w:rPr>
        <w:t xml:space="preserve">The households are divided into family nuclei as defined in </w:t>
      </w:r>
      <w:r w:rsidR="004F6698" w:rsidRPr="00B92006">
        <w:rPr>
          <w:rFonts w:ascii="Arial" w:hAnsi="Arial" w:cs="Arial"/>
          <w:sz w:val="24"/>
          <w:szCs w:val="24"/>
          <w:lang w:val="en-GB"/>
        </w:rPr>
        <w:t xml:space="preserve">regulations </w:t>
      </w:r>
      <w:r w:rsidR="00947368" w:rsidRPr="00190D6B">
        <w:rPr>
          <w:rFonts w:ascii="Arial" w:hAnsi="Arial" w:cs="Arial"/>
          <w:sz w:val="24"/>
          <w:szCs w:val="24"/>
          <w:lang w:val="en-GB"/>
        </w:rPr>
        <w:t>(</w:t>
      </w:r>
      <w:r w:rsidR="00947368" w:rsidRPr="00570FA4">
        <w:rPr>
          <w:rFonts w:ascii="Arial" w:hAnsi="Arial" w:cs="Arial"/>
          <w:iCs/>
          <w:sz w:val="24"/>
          <w:szCs w:val="24"/>
          <w:lang w:val="en-GB"/>
        </w:rPr>
        <w:t>Commission Implementing Regulation (EU) 2017/543</w:t>
      </w:r>
      <w:r w:rsidR="00947368" w:rsidRPr="00570FA4">
        <w:rPr>
          <w:rFonts w:ascii="Arial" w:hAnsi="Arial" w:cs="Arial"/>
          <w:sz w:val="24"/>
          <w:szCs w:val="24"/>
          <w:lang w:val="en-GB"/>
        </w:rPr>
        <w:t>, 2017</w:t>
      </w:r>
      <w:r w:rsidR="00947368" w:rsidRPr="00190D6B">
        <w:rPr>
          <w:rFonts w:ascii="Arial" w:hAnsi="Arial" w:cs="Arial"/>
          <w:sz w:val="24"/>
          <w:szCs w:val="24"/>
          <w:lang w:val="en-GB"/>
        </w:rPr>
        <w:t>)</w:t>
      </w:r>
      <w:r w:rsidR="002E47D8" w:rsidRPr="00B92006">
        <w:rPr>
          <w:rFonts w:ascii="Arial" w:hAnsi="Arial" w:cs="Arial"/>
          <w:sz w:val="24"/>
          <w:szCs w:val="24"/>
          <w:lang w:val="en-GB"/>
        </w:rPr>
        <w:t xml:space="preserve">, </w:t>
      </w:r>
      <w:r w:rsidR="002E47D8" w:rsidRPr="00B92006">
        <w:rPr>
          <w:rFonts w:ascii="Arial" w:hAnsi="Arial" w:cs="Arial"/>
          <w:i/>
          <w:sz w:val="24"/>
          <w:szCs w:val="24"/>
          <w:lang w:val="en-GB"/>
        </w:rPr>
        <w:t>‘two or more persons who belong to the same household and who are related as husband and wife, as partners in a registered partnership, as partners in a consensual union, or as parent and child./…/ A son or daughter who lives with a spouse, with a registered partner, with a partner in a consensual union, or with one or more own children, is not considered to be a child.’</w:t>
      </w:r>
    </w:p>
    <w:p w14:paraId="768CAD4B" w14:textId="37E33B8B" w:rsidR="00663396" w:rsidRPr="00B92006" w:rsidRDefault="0022455D" w:rsidP="000477EA">
      <w:pPr>
        <w:spacing w:before="360"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92006">
        <w:rPr>
          <w:rFonts w:ascii="Arial" w:hAnsi="Arial" w:cs="Arial"/>
          <w:sz w:val="24"/>
          <w:szCs w:val="24"/>
          <w:lang w:val="en-GB"/>
        </w:rPr>
        <w:t>W</w:t>
      </w:r>
      <w:r w:rsidR="00743056" w:rsidRPr="00B92006">
        <w:rPr>
          <w:rFonts w:ascii="Arial" w:hAnsi="Arial" w:cs="Arial"/>
          <w:sz w:val="24"/>
          <w:szCs w:val="24"/>
          <w:lang w:val="en-GB"/>
        </w:rPr>
        <w:t>hen constructing register</w:t>
      </w:r>
      <w:r w:rsidR="00625582" w:rsidRPr="00B92006">
        <w:rPr>
          <w:rFonts w:ascii="Arial" w:hAnsi="Arial" w:cs="Arial"/>
          <w:sz w:val="24"/>
          <w:szCs w:val="24"/>
          <w:lang w:val="en-GB"/>
        </w:rPr>
        <w:t>-</w:t>
      </w:r>
      <w:r w:rsidR="00743056" w:rsidRPr="00B92006">
        <w:rPr>
          <w:rFonts w:ascii="Arial" w:hAnsi="Arial" w:cs="Arial"/>
          <w:sz w:val="24"/>
          <w:szCs w:val="24"/>
          <w:lang w:val="en-GB"/>
        </w:rPr>
        <w:t xml:space="preserve">based households of CSHPR respondents, some people </w:t>
      </w:r>
      <w:r w:rsidR="002E47D8" w:rsidRPr="00B92006">
        <w:rPr>
          <w:rFonts w:ascii="Arial" w:hAnsi="Arial" w:cs="Arial"/>
          <w:sz w:val="24"/>
          <w:szCs w:val="24"/>
          <w:lang w:val="en-GB"/>
        </w:rPr>
        <w:t xml:space="preserve">outside </w:t>
      </w:r>
      <w:r w:rsidR="00B1454E">
        <w:rPr>
          <w:rFonts w:ascii="Arial" w:hAnsi="Arial" w:cs="Arial"/>
          <w:sz w:val="24"/>
          <w:szCs w:val="24"/>
          <w:lang w:val="en-GB"/>
        </w:rPr>
        <w:t>the</w:t>
      </w:r>
      <w:r w:rsidR="002E47D8" w:rsidRPr="00B92006">
        <w:rPr>
          <w:rFonts w:ascii="Arial" w:hAnsi="Arial" w:cs="Arial"/>
          <w:sz w:val="24"/>
          <w:szCs w:val="24"/>
          <w:lang w:val="en-GB"/>
        </w:rPr>
        <w:t xml:space="preserve"> </w:t>
      </w:r>
      <w:r w:rsidRPr="00B92006">
        <w:rPr>
          <w:rFonts w:ascii="Arial" w:hAnsi="Arial" w:cs="Arial"/>
          <w:sz w:val="24"/>
          <w:szCs w:val="24"/>
          <w:lang w:val="en-GB"/>
        </w:rPr>
        <w:t>survey</w:t>
      </w:r>
      <w:r w:rsidR="00743056" w:rsidRPr="00B92006">
        <w:rPr>
          <w:rFonts w:ascii="Arial" w:hAnsi="Arial" w:cs="Arial"/>
          <w:sz w:val="24"/>
          <w:szCs w:val="24"/>
          <w:lang w:val="en-GB"/>
        </w:rPr>
        <w:t xml:space="preserve"> will </w:t>
      </w:r>
      <w:r w:rsidR="00663396" w:rsidRPr="00B92006">
        <w:rPr>
          <w:rFonts w:ascii="Arial" w:hAnsi="Arial" w:cs="Arial"/>
          <w:sz w:val="24"/>
          <w:szCs w:val="24"/>
          <w:lang w:val="en-GB"/>
        </w:rPr>
        <w:t>also be involved</w:t>
      </w:r>
      <w:r w:rsidR="00743056" w:rsidRPr="00B92006">
        <w:rPr>
          <w:rFonts w:ascii="Arial" w:hAnsi="Arial" w:cs="Arial"/>
          <w:sz w:val="24"/>
          <w:szCs w:val="24"/>
          <w:lang w:val="en-GB"/>
        </w:rPr>
        <w:t xml:space="preserve">. </w:t>
      </w:r>
      <w:r w:rsidR="00561A25" w:rsidRPr="00B92006">
        <w:rPr>
          <w:rFonts w:ascii="Arial" w:hAnsi="Arial" w:cs="Arial"/>
          <w:sz w:val="24"/>
          <w:szCs w:val="24"/>
          <w:lang w:val="en-GB"/>
        </w:rPr>
        <w:t xml:space="preserve">For example, if CSHPR respondent Alice is registered </w:t>
      </w:r>
      <w:r w:rsidR="00B1454E">
        <w:rPr>
          <w:rFonts w:ascii="Arial" w:hAnsi="Arial" w:cs="Arial"/>
          <w:sz w:val="24"/>
          <w:szCs w:val="24"/>
          <w:lang w:val="en-GB"/>
        </w:rPr>
        <w:t>at the same</w:t>
      </w:r>
      <w:r w:rsidR="00561A25" w:rsidRPr="00B92006">
        <w:rPr>
          <w:rFonts w:ascii="Arial" w:hAnsi="Arial" w:cs="Arial"/>
          <w:sz w:val="24"/>
          <w:szCs w:val="24"/>
          <w:lang w:val="en-GB"/>
        </w:rPr>
        <w:t xml:space="preserve"> address with Bob who was not in the sample, Bob will be </w:t>
      </w:r>
      <w:r w:rsidR="00B1454E">
        <w:rPr>
          <w:rFonts w:ascii="Arial" w:hAnsi="Arial" w:cs="Arial"/>
          <w:sz w:val="24"/>
          <w:szCs w:val="24"/>
          <w:lang w:val="en-GB"/>
        </w:rPr>
        <w:t xml:space="preserve">a </w:t>
      </w:r>
      <w:r w:rsidR="00561A25" w:rsidRPr="00B92006">
        <w:rPr>
          <w:rFonts w:ascii="Arial" w:hAnsi="Arial" w:cs="Arial"/>
          <w:sz w:val="24"/>
          <w:szCs w:val="24"/>
          <w:lang w:val="en-GB"/>
        </w:rPr>
        <w:t xml:space="preserve">member of Alice's register-based household. </w:t>
      </w:r>
      <w:r w:rsidR="002E47D8" w:rsidRPr="00B92006">
        <w:rPr>
          <w:rFonts w:ascii="Arial" w:hAnsi="Arial" w:cs="Arial"/>
          <w:sz w:val="24"/>
          <w:szCs w:val="24"/>
          <w:lang w:val="en-GB"/>
        </w:rPr>
        <w:t xml:space="preserve">In the analysis, only CSHPR respondents </w:t>
      </w:r>
      <w:r w:rsidR="002E47D8" w:rsidRPr="00B92006">
        <w:rPr>
          <w:rFonts w:ascii="Arial" w:hAnsi="Arial" w:cs="Arial"/>
          <w:sz w:val="24"/>
          <w:szCs w:val="24"/>
          <w:lang w:val="en-GB"/>
        </w:rPr>
        <w:lastRenderedPageBreak/>
        <w:t>are included.</w:t>
      </w:r>
      <w:r w:rsidR="007D4830" w:rsidRPr="00B92006">
        <w:rPr>
          <w:rFonts w:ascii="Arial" w:hAnsi="Arial" w:cs="Arial"/>
          <w:sz w:val="24"/>
          <w:szCs w:val="24"/>
          <w:lang w:val="en-GB"/>
        </w:rPr>
        <w:t xml:space="preserve"> </w:t>
      </w:r>
      <w:r w:rsidR="00C0188F" w:rsidRPr="00B92006">
        <w:rPr>
          <w:rFonts w:ascii="Arial" w:hAnsi="Arial" w:cs="Arial"/>
          <w:sz w:val="24"/>
          <w:szCs w:val="24"/>
          <w:lang w:val="en-GB"/>
        </w:rPr>
        <w:t xml:space="preserve">If not stated differently, </w:t>
      </w:r>
      <w:r w:rsidR="00B1454E">
        <w:rPr>
          <w:rFonts w:ascii="Arial" w:hAnsi="Arial" w:cs="Arial"/>
          <w:sz w:val="24"/>
          <w:szCs w:val="24"/>
          <w:lang w:val="en-GB"/>
        </w:rPr>
        <w:t xml:space="preserve">the </w:t>
      </w:r>
      <w:r w:rsidR="00B87F07" w:rsidRPr="00B92006">
        <w:rPr>
          <w:rFonts w:ascii="Arial" w:hAnsi="Arial" w:cs="Arial"/>
          <w:sz w:val="24"/>
          <w:szCs w:val="24"/>
          <w:lang w:val="en-GB"/>
        </w:rPr>
        <w:t xml:space="preserve">given </w:t>
      </w:r>
      <w:r w:rsidR="00B87F07" w:rsidRPr="005D1315">
        <w:rPr>
          <w:rFonts w:ascii="Arial" w:hAnsi="Arial" w:cs="Arial"/>
          <w:sz w:val="24"/>
          <w:szCs w:val="24"/>
          <w:lang w:val="en-GB"/>
        </w:rPr>
        <w:t>distribution</w:t>
      </w:r>
      <w:r w:rsidR="00B87F07" w:rsidRPr="00B92006">
        <w:rPr>
          <w:rFonts w:ascii="Arial" w:hAnsi="Arial" w:cs="Arial"/>
          <w:sz w:val="24"/>
          <w:szCs w:val="24"/>
          <w:lang w:val="en-GB"/>
        </w:rPr>
        <w:t>s are based on unweighted data and therefore differ from population estimates (albeit slightly).</w:t>
      </w:r>
    </w:p>
    <w:p w14:paraId="0CEF0059" w14:textId="08A7DD5D" w:rsidR="00663396" w:rsidRPr="00B92006" w:rsidRDefault="0022455D" w:rsidP="000477EA">
      <w:pPr>
        <w:spacing w:before="360"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92006">
        <w:rPr>
          <w:rFonts w:ascii="Arial" w:hAnsi="Arial" w:cs="Arial"/>
          <w:sz w:val="24"/>
          <w:szCs w:val="24"/>
          <w:lang w:val="en-GB"/>
        </w:rPr>
        <w:t xml:space="preserve">There were 3051 </w:t>
      </w:r>
      <w:r w:rsidR="00C43E83" w:rsidRPr="00B92006">
        <w:rPr>
          <w:rFonts w:ascii="Arial" w:hAnsi="Arial" w:cs="Arial"/>
          <w:sz w:val="24"/>
          <w:szCs w:val="24"/>
          <w:lang w:val="en-GB"/>
        </w:rPr>
        <w:t xml:space="preserve">nuclear </w:t>
      </w:r>
      <w:r w:rsidRPr="00B92006">
        <w:rPr>
          <w:rFonts w:ascii="Arial" w:hAnsi="Arial" w:cs="Arial"/>
          <w:sz w:val="24"/>
          <w:szCs w:val="24"/>
          <w:lang w:val="en-GB"/>
        </w:rPr>
        <w:t xml:space="preserve">families in CSHPR. </w:t>
      </w:r>
      <w:r w:rsidR="00663396" w:rsidRPr="00B92006">
        <w:rPr>
          <w:rFonts w:ascii="Arial" w:hAnsi="Arial" w:cs="Arial"/>
          <w:sz w:val="24"/>
          <w:szCs w:val="24"/>
          <w:lang w:val="en-GB"/>
        </w:rPr>
        <w:t>With register</w:t>
      </w:r>
      <w:r w:rsidR="00625582" w:rsidRPr="00B92006">
        <w:rPr>
          <w:rFonts w:ascii="Arial" w:hAnsi="Arial" w:cs="Arial"/>
          <w:sz w:val="24"/>
          <w:szCs w:val="24"/>
          <w:lang w:val="en-GB"/>
        </w:rPr>
        <w:t>-</w:t>
      </w:r>
      <w:r w:rsidR="00663396" w:rsidRPr="00B92006">
        <w:rPr>
          <w:rFonts w:ascii="Arial" w:hAnsi="Arial" w:cs="Arial"/>
          <w:sz w:val="24"/>
          <w:szCs w:val="24"/>
          <w:lang w:val="en-GB"/>
        </w:rPr>
        <w:t xml:space="preserve">based approaches, we consider families including </w:t>
      </w:r>
      <w:r w:rsidR="00663396" w:rsidRPr="00B92006">
        <w:rPr>
          <w:rFonts w:ascii="Arial" w:hAnsi="Arial" w:cs="Arial"/>
          <w:i/>
          <w:sz w:val="24"/>
          <w:szCs w:val="24"/>
          <w:lang w:val="en-GB"/>
        </w:rPr>
        <w:t>at least one</w:t>
      </w:r>
      <w:r w:rsidR="00663396" w:rsidRPr="00B92006">
        <w:rPr>
          <w:rFonts w:ascii="Arial" w:hAnsi="Arial" w:cs="Arial"/>
          <w:sz w:val="24"/>
          <w:szCs w:val="24"/>
          <w:lang w:val="en-GB"/>
        </w:rPr>
        <w:t xml:space="preserve"> CSHPR respondent. Accordingly, the number of affected families is larger</w:t>
      </w:r>
      <w:r w:rsidR="007E4962">
        <w:rPr>
          <w:rFonts w:ascii="Arial" w:hAnsi="Arial" w:cs="Arial"/>
          <w:sz w:val="24"/>
          <w:szCs w:val="24"/>
          <w:lang w:val="en-GB"/>
        </w:rPr>
        <w:t xml:space="preserve"> </w:t>
      </w:r>
      <w:r w:rsidR="007E4962"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r w:rsidR="00663396" w:rsidRPr="00B92006">
        <w:rPr>
          <w:rFonts w:ascii="Arial" w:hAnsi="Arial" w:cs="Arial"/>
          <w:sz w:val="24"/>
          <w:szCs w:val="24"/>
          <w:lang w:val="en-GB"/>
        </w:rPr>
        <w:t>3500 with PR data alone and 3644 when partnership index data is added.</w:t>
      </w:r>
    </w:p>
    <w:p w14:paraId="3F998993" w14:textId="4105ABEB" w:rsidR="00EC3F24" w:rsidRPr="00B92006" w:rsidRDefault="00EC3F24" w:rsidP="002E47D8">
      <w:pPr>
        <w:pStyle w:val="NSMnormal"/>
      </w:pPr>
      <w:r w:rsidRPr="00B92006">
        <w:rPr>
          <w:b/>
        </w:rPr>
        <w:t>Family nucleus types</w:t>
      </w:r>
      <w:r w:rsidRPr="00B92006">
        <w:t xml:space="preserve"> obtained by dif</w:t>
      </w:r>
      <w:r w:rsidR="00961D70" w:rsidRPr="00B92006">
        <w:t>f</w:t>
      </w:r>
      <w:r w:rsidRPr="00B92006">
        <w:t>erent methods are compared</w:t>
      </w:r>
      <w:r w:rsidR="00961D70" w:rsidRPr="00B92006">
        <w:t xml:space="preserve"> in </w:t>
      </w:r>
      <w:r w:rsidR="00961D70" w:rsidRPr="00B92006">
        <w:fldChar w:fldCharType="begin"/>
      </w:r>
      <w:r w:rsidR="00961D70" w:rsidRPr="00B92006">
        <w:instrText xml:space="preserve"> REF _Ref8398967 \h </w:instrText>
      </w:r>
      <w:r w:rsidR="00961D70" w:rsidRPr="00B92006">
        <w:fldChar w:fldCharType="separate"/>
      </w:r>
      <w:r w:rsidR="00BD5BE2" w:rsidRPr="00B92006">
        <w:t xml:space="preserve">Table </w:t>
      </w:r>
      <w:r w:rsidR="00BD5BE2" w:rsidRPr="00B92006">
        <w:rPr>
          <w:noProof/>
        </w:rPr>
        <w:t>3</w:t>
      </w:r>
      <w:r w:rsidR="00961D70" w:rsidRPr="00B92006">
        <w:fldChar w:fldCharType="end"/>
      </w:r>
      <w:r w:rsidRPr="00B92006">
        <w:t>.</w:t>
      </w:r>
      <w:r w:rsidR="00961D70" w:rsidRPr="00B92006">
        <w:t xml:space="preserve"> </w:t>
      </w:r>
      <w:r w:rsidR="00526D75" w:rsidRPr="00B92006">
        <w:t>In CSHPR, 22% of families were lone parent families</w:t>
      </w:r>
      <w:r w:rsidR="00376E65">
        <w:t>.</w:t>
      </w:r>
      <w:r w:rsidR="001D419D">
        <w:t xml:space="preserve"> </w:t>
      </w:r>
      <w:r w:rsidR="00376E65" w:rsidRPr="00376E65">
        <w:t>Similarly to 2016 pilot census, using only PR data inflates the share of lone parent families (to 40%)</w:t>
      </w:r>
      <w:r w:rsidR="00526D75" w:rsidRPr="00B92006">
        <w:t xml:space="preserve">. When </w:t>
      </w:r>
      <w:r w:rsidR="009956DF" w:rsidRPr="00B92006">
        <w:t xml:space="preserve">applying </w:t>
      </w:r>
      <w:r w:rsidR="001D419D">
        <w:t xml:space="preserve">the </w:t>
      </w:r>
      <w:r w:rsidR="009956DF" w:rsidRPr="00B92006">
        <w:t>partnership index, the proportion of lone parent families falls to 24%</w:t>
      </w:r>
      <w:r w:rsidR="007E4962">
        <w:t xml:space="preserve"> </w:t>
      </w:r>
      <w:r w:rsidR="007E4962">
        <w:rPr>
          <w:shd w:val="clear" w:color="auto" w:fill="FFFFFF"/>
        </w:rPr>
        <w:t xml:space="preserve">– </w:t>
      </w:r>
      <w:r w:rsidR="009956DF" w:rsidRPr="00B92006">
        <w:t xml:space="preserve">a result very close to CSHPR and a considerable improvement compared to using PR alone. </w:t>
      </w:r>
    </w:p>
    <w:p w14:paraId="68ADB25D" w14:textId="1D4A3577" w:rsidR="009956DF" w:rsidRPr="00B92006" w:rsidRDefault="00B63C89" w:rsidP="00190D6B">
      <w:pPr>
        <w:pStyle w:val="NSMnormal"/>
        <w:spacing w:after="120"/>
      </w:pPr>
      <w:r w:rsidRPr="00B92006">
        <w:t>Across all types of families</w:t>
      </w:r>
      <w:r w:rsidR="00634D04" w:rsidRPr="00B92006">
        <w:t>,</w:t>
      </w:r>
      <w:r w:rsidRPr="00B92006">
        <w:t xml:space="preserve"> we observe overestimation of families with adult children</w:t>
      </w:r>
      <w:r w:rsidR="0085041A" w:rsidRPr="00B92006">
        <w:t xml:space="preserve"> with register</w:t>
      </w:r>
      <w:r w:rsidR="00625582" w:rsidRPr="00B92006">
        <w:t>-</w:t>
      </w:r>
      <w:r w:rsidR="0085041A" w:rsidRPr="00B92006">
        <w:t>based methods</w:t>
      </w:r>
      <w:r w:rsidRPr="00B92006">
        <w:t xml:space="preserve">. At the same time, both married and consensual union couples without children are </w:t>
      </w:r>
      <w:r w:rsidR="001D34CC" w:rsidRPr="00B92006">
        <w:t>fewer than expected.</w:t>
      </w:r>
    </w:p>
    <w:p w14:paraId="31E87AA4" w14:textId="2FFB0104" w:rsidR="000477EA" w:rsidRPr="00B92006" w:rsidRDefault="000477EA" w:rsidP="000477EA">
      <w:pPr>
        <w:pStyle w:val="NSMpealdis"/>
      </w:pPr>
      <w:bookmarkStart w:id="4" w:name="_Ref8398967"/>
      <w:r w:rsidRPr="00B92006">
        <w:t xml:space="preserve">Table </w:t>
      </w:r>
      <w:r w:rsidRPr="00B92006">
        <w:fldChar w:fldCharType="begin"/>
      </w:r>
      <w:r w:rsidRPr="00B92006">
        <w:instrText xml:space="preserve"> SEQ Table \* ARABIC </w:instrText>
      </w:r>
      <w:r w:rsidRPr="00B92006">
        <w:fldChar w:fldCharType="separate"/>
      </w:r>
      <w:r w:rsidR="00BD5BE2" w:rsidRPr="00B92006">
        <w:rPr>
          <w:noProof/>
        </w:rPr>
        <w:t>3</w:t>
      </w:r>
      <w:r w:rsidRPr="00B92006">
        <w:fldChar w:fldCharType="end"/>
      </w:r>
      <w:bookmarkEnd w:id="4"/>
      <w:r w:rsidRPr="00B92006">
        <w:t xml:space="preserve">. </w:t>
      </w:r>
      <w:r w:rsidR="00370764" w:rsidRPr="00B92006">
        <w:t>Type</w:t>
      </w:r>
      <w:r w:rsidRPr="00B92006">
        <w:t xml:space="preserve"> of family nucleus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2578"/>
        <w:gridCol w:w="1701"/>
        <w:gridCol w:w="1158"/>
        <w:gridCol w:w="1813"/>
      </w:tblGrid>
      <w:tr w:rsidR="0006156D" w:rsidRPr="00B92006" w14:paraId="37EA6D62" w14:textId="77777777" w:rsidTr="00D74A1B">
        <w:trPr>
          <w:cantSplit/>
          <w:tblHeader/>
        </w:trPr>
        <w:tc>
          <w:tcPr>
            <w:tcW w:w="4390" w:type="dxa"/>
            <w:gridSpan w:val="2"/>
            <w:vMerge w:val="restart"/>
            <w:vAlign w:val="center"/>
          </w:tcPr>
          <w:p w14:paraId="76575783" w14:textId="009E0F79" w:rsidR="0006156D" w:rsidRPr="00B92006" w:rsidRDefault="0006156D" w:rsidP="00FF163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Type of family nucleus %</w:t>
            </w:r>
          </w:p>
        </w:tc>
        <w:tc>
          <w:tcPr>
            <w:tcW w:w="4672" w:type="dxa"/>
            <w:gridSpan w:val="3"/>
            <w:vAlign w:val="center"/>
          </w:tcPr>
          <w:p w14:paraId="092051AF" w14:textId="6C180187" w:rsidR="0006156D" w:rsidRPr="00B92006" w:rsidRDefault="0006156D" w:rsidP="00FF163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Basis for household formation</w:t>
            </w:r>
          </w:p>
        </w:tc>
      </w:tr>
      <w:tr w:rsidR="0006156D" w:rsidRPr="00B92006" w14:paraId="3A8B0B5E" w14:textId="77777777" w:rsidTr="0006156D">
        <w:trPr>
          <w:trHeight w:val="810"/>
        </w:trPr>
        <w:tc>
          <w:tcPr>
            <w:tcW w:w="4390" w:type="dxa"/>
            <w:gridSpan w:val="2"/>
            <w:vMerge/>
            <w:vAlign w:val="center"/>
          </w:tcPr>
          <w:p w14:paraId="54FA91DF" w14:textId="77777777" w:rsidR="0006156D" w:rsidRPr="00B92006" w:rsidRDefault="0006156D" w:rsidP="00FF163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BBAFA2B" w14:textId="2A5BC867" w:rsidR="0006156D" w:rsidRPr="00B92006" w:rsidRDefault="0006156D" w:rsidP="0006156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Dwelling</w:t>
            </w:r>
            <w:r w:rsidR="00625582"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based from CSHPR</w:t>
            </w:r>
          </w:p>
        </w:tc>
        <w:tc>
          <w:tcPr>
            <w:tcW w:w="1158" w:type="dxa"/>
            <w:vAlign w:val="center"/>
          </w:tcPr>
          <w:p w14:paraId="3F1C1B83" w14:textId="65429762" w:rsidR="0006156D" w:rsidRPr="00B92006" w:rsidRDefault="0006156D" w:rsidP="0006156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PR only</w:t>
            </w:r>
          </w:p>
        </w:tc>
        <w:tc>
          <w:tcPr>
            <w:tcW w:w="1813" w:type="dxa"/>
            <w:vAlign w:val="center"/>
          </w:tcPr>
          <w:p w14:paraId="34584CE7" w14:textId="46B672FA" w:rsidR="0006156D" w:rsidRPr="00B92006" w:rsidRDefault="0006156D" w:rsidP="0006156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PR + partnership index</w:t>
            </w:r>
          </w:p>
        </w:tc>
      </w:tr>
      <w:tr w:rsidR="0006156D" w:rsidRPr="00B92006" w14:paraId="4C76D879" w14:textId="77777777" w:rsidTr="0006156D">
        <w:trPr>
          <w:trHeight w:val="386"/>
        </w:trPr>
        <w:tc>
          <w:tcPr>
            <w:tcW w:w="4390" w:type="dxa"/>
            <w:gridSpan w:val="2"/>
            <w:vMerge/>
            <w:vAlign w:val="center"/>
          </w:tcPr>
          <w:p w14:paraId="69EA70EA" w14:textId="77777777" w:rsidR="0006156D" w:rsidRPr="00B92006" w:rsidRDefault="0006156D" w:rsidP="00FF163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1FAAC14" w14:textId="5153BE7B" w:rsidR="0006156D" w:rsidRPr="00B92006" w:rsidRDefault="0006156D" w:rsidP="00FF163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N = 3051</w:t>
            </w:r>
          </w:p>
        </w:tc>
        <w:tc>
          <w:tcPr>
            <w:tcW w:w="1158" w:type="dxa"/>
            <w:vAlign w:val="center"/>
          </w:tcPr>
          <w:p w14:paraId="68A86AC2" w14:textId="2CF09B26" w:rsidR="0006156D" w:rsidRPr="00B92006" w:rsidRDefault="0006156D" w:rsidP="00FF163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N = 3500</w:t>
            </w:r>
          </w:p>
        </w:tc>
        <w:tc>
          <w:tcPr>
            <w:tcW w:w="1813" w:type="dxa"/>
            <w:vAlign w:val="center"/>
          </w:tcPr>
          <w:p w14:paraId="2014791C" w14:textId="1B9EA9A3" w:rsidR="0006156D" w:rsidRPr="00B92006" w:rsidRDefault="0006156D" w:rsidP="00FF163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N = 3644</w:t>
            </w:r>
          </w:p>
        </w:tc>
      </w:tr>
      <w:tr w:rsidR="00FF163A" w:rsidRPr="00B92006" w14:paraId="249C8154" w14:textId="77777777" w:rsidTr="006521B0">
        <w:tc>
          <w:tcPr>
            <w:tcW w:w="4390" w:type="dxa"/>
            <w:gridSpan w:val="2"/>
          </w:tcPr>
          <w:p w14:paraId="438CF671" w14:textId="7BE698C1" w:rsidR="00FF163A" w:rsidRPr="00B92006" w:rsidRDefault="00FF163A" w:rsidP="00FF163A">
            <w:pPr>
              <w:spacing w:before="12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Families with couples</w:t>
            </w:r>
          </w:p>
        </w:tc>
        <w:tc>
          <w:tcPr>
            <w:tcW w:w="1701" w:type="dxa"/>
          </w:tcPr>
          <w:p w14:paraId="11D717AF" w14:textId="379F753E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78.4</w:t>
            </w:r>
          </w:p>
        </w:tc>
        <w:tc>
          <w:tcPr>
            <w:tcW w:w="1158" w:type="dxa"/>
          </w:tcPr>
          <w:p w14:paraId="03B45BC3" w14:textId="7B61A775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60.5</w:t>
            </w:r>
          </w:p>
        </w:tc>
        <w:tc>
          <w:tcPr>
            <w:tcW w:w="1813" w:type="dxa"/>
          </w:tcPr>
          <w:p w14:paraId="3930EA62" w14:textId="6C622ED5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75.9</w:t>
            </w:r>
          </w:p>
        </w:tc>
      </w:tr>
      <w:tr w:rsidR="00FF163A" w:rsidRPr="00B92006" w14:paraId="062C216F" w14:textId="77777777" w:rsidTr="006521B0">
        <w:tc>
          <w:tcPr>
            <w:tcW w:w="4390" w:type="dxa"/>
            <w:gridSpan w:val="2"/>
          </w:tcPr>
          <w:p w14:paraId="3EDD9E5B" w14:textId="1710AEEB" w:rsidR="00FF163A" w:rsidRPr="00B92006" w:rsidRDefault="00FF163A" w:rsidP="00FF163A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Married couple families</w:t>
            </w:r>
          </w:p>
        </w:tc>
        <w:tc>
          <w:tcPr>
            <w:tcW w:w="1701" w:type="dxa"/>
          </w:tcPr>
          <w:p w14:paraId="5710F16F" w14:textId="0C4BA3EA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52.2</w:t>
            </w:r>
          </w:p>
        </w:tc>
        <w:tc>
          <w:tcPr>
            <w:tcW w:w="1158" w:type="dxa"/>
          </w:tcPr>
          <w:p w14:paraId="400B0A23" w14:textId="4CDBFC9B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42.1</w:t>
            </w:r>
          </w:p>
        </w:tc>
        <w:tc>
          <w:tcPr>
            <w:tcW w:w="1813" w:type="dxa"/>
          </w:tcPr>
          <w:p w14:paraId="0290C041" w14:textId="2E76B3C8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53.0</w:t>
            </w:r>
          </w:p>
        </w:tc>
      </w:tr>
      <w:tr w:rsidR="00FF163A" w:rsidRPr="00B92006" w14:paraId="27DA307F" w14:textId="77777777" w:rsidTr="00FF163A">
        <w:tc>
          <w:tcPr>
            <w:tcW w:w="1812" w:type="dxa"/>
          </w:tcPr>
          <w:p w14:paraId="660B4C0F" w14:textId="77777777" w:rsidR="00FF163A" w:rsidRPr="00B92006" w:rsidRDefault="00FF163A" w:rsidP="00FF163A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78" w:type="dxa"/>
          </w:tcPr>
          <w:p w14:paraId="5A71B6C7" w14:textId="1ADBC199" w:rsidR="00FF163A" w:rsidRPr="00B92006" w:rsidRDefault="00FF163A" w:rsidP="00FF163A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Without resident children</w:t>
            </w:r>
          </w:p>
        </w:tc>
        <w:tc>
          <w:tcPr>
            <w:tcW w:w="1701" w:type="dxa"/>
          </w:tcPr>
          <w:p w14:paraId="577DCAF5" w14:textId="7B9EB80F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26.9</w:t>
            </w:r>
          </w:p>
        </w:tc>
        <w:tc>
          <w:tcPr>
            <w:tcW w:w="1158" w:type="dxa"/>
          </w:tcPr>
          <w:p w14:paraId="0FDFEA9B" w14:textId="13082178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17.0</w:t>
            </w:r>
          </w:p>
        </w:tc>
        <w:tc>
          <w:tcPr>
            <w:tcW w:w="1813" w:type="dxa"/>
          </w:tcPr>
          <w:p w14:paraId="1C37E85E" w14:textId="39F8C28C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21.7</w:t>
            </w:r>
          </w:p>
        </w:tc>
      </w:tr>
      <w:tr w:rsidR="00FF163A" w:rsidRPr="00B92006" w14:paraId="7F4250B5" w14:textId="77777777" w:rsidTr="00FF163A">
        <w:tc>
          <w:tcPr>
            <w:tcW w:w="1812" w:type="dxa"/>
          </w:tcPr>
          <w:p w14:paraId="78834383" w14:textId="77777777" w:rsidR="00FF163A" w:rsidRPr="00B92006" w:rsidRDefault="00FF163A" w:rsidP="00FF163A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78" w:type="dxa"/>
          </w:tcPr>
          <w:p w14:paraId="5EC1EE73" w14:textId="174C596A" w:rsidR="00FF163A" w:rsidRPr="00B92006" w:rsidRDefault="00FF163A" w:rsidP="00FF163A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With at least one resident child under 25</w:t>
            </w:r>
          </w:p>
        </w:tc>
        <w:tc>
          <w:tcPr>
            <w:tcW w:w="1701" w:type="dxa"/>
          </w:tcPr>
          <w:p w14:paraId="50E5A757" w14:textId="670F0834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21.2</w:t>
            </w:r>
          </w:p>
        </w:tc>
        <w:tc>
          <w:tcPr>
            <w:tcW w:w="1158" w:type="dxa"/>
          </w:tcPr>
          <w:p w14:paraId="15518E39" w14:textId="46BAA4C8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16.5</w:t>
            </w:r>
          </w:p>
        </w:tc>
        <w:tc>
          <w:tcPr>
            <w:tcW w:w="1813" w:type="dxa"/>
          </w:tcPr>
          <w:p w14:paraId="74C9DD79" w14:textId="01506A19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22.6</w:t>
            </w:r>
          </w:p>
        </w:tc>
      </w:tr>
      <w:tr w:rsidR="00FF163A" w:rsidRPr="00B92006" w14:paraId="250B09B1" w14:textId="77777777" w:rsidTr="00FF163A">
        <w:tc>
          <w:tcPr>
            <w:tcW w:w="1812" w:type="dxa"/>
          </w:tcPr>
          <w:p w14:paraId="2E1F235F" w14:textId="77777777" w:rsidR="00FF163A" w:rsidRPr="00B92006" w:rsidRDefault="00FF163A" w:rsidP="00FF163A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78" w:type="dxa"/>
          </w:tcPr>
          <w:p w14:paraId="7B9CB179" w14:textId="0502E19B" w:rsidR="00FF163A" w:rsidRPr="00B92006" w:rsidRDefault="00FF163A" w:rsidP="00FF163A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Youngest resident son/daughter 25 or older</w:t>
            </w:r>
          </w:p>
        </w:tc>
        <w:tc>
          <w:tcPr>
            <w:tcW w:w="1701" w:type="dxa"/>
          </w:tcPr>
          <w:p w14:paraId="4551777A" w14:textId="5A95A457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4.1</w:t>
            </w:r>
          </w:p>
        </w:tc>
        <w:tc>
          <w:tcPr>
            <w:tcW w:w="1158" w:type="dxa"/>
          </w:tcPr>
          <w:p w14:paraId="61615B5C" w14:textId="39CE8950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8.5</w:t>
            </w:r>
          </w:p>
        </w:tc>
        <w:tc>
          <w:tcPr>
            <w:tcW w:w="1813" w:type="dxa"/>
          </w:tcPr>
          <w:p w14:paraId="6EFAC2AB" w14:textId="43768546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8.8</w:t>
            </w:r>
          </w:p>
        </w:tc>
      </w:tr>
      <w:tr w:rsidR="00FF163A" w:rsidRPr="00B92006" w14:paraId="2CD2AAF8" w14:textId="77777777" w:rsidTr="006521B0">
        <w:tc>
          <w:tcPr>
            <w:tcW w:w="4390" w:type="dxa"/>
            <w:gridSpan w:val="2"/>
          </w:tcPr>
          <w:p w14:paraId="3FDB8B30" w14:textId="765863A1" w:rsidR="00FF163A" w:rsidRPr="00B92006" w:rsidRDefault="00FF163A" w:rsidP="00FF163A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Consensual union couple families</w:t>
            </w:r>
          </w:p>
        </w:tc>
        <w:tc>
          <w:tcPr>
            <w:tcW w:w="1701" w:type="dxa"/>
          </w:tcPr>
          <w:p w14:paraId="64777419" w14:textId="1C569544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26.2</w:t>
            </w:r>
          </w:p>
        </w:tc>
        <w:tc>
          <w:tcPr>
            <w:tcW w:w="1158" w:type="dxa"/>
          </w:tcPr>
          <w:p w14:paraId="55ADBDBF" w14:textId="40A921E0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18.4</w:t>
            </w:r>
          </w:p>
        </w:tc>
        <w:tc>
          <w:tcPr>
            <w:tcW w:w="1813" w:type="dxa"/>
          </w:tcPr>
          <w:p w14:paraId="055519FD" w14:textId="338575DA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22.8</w:t>
            </w:r>
          </w:p>
        </w:tc>
      </w:tr>
      <w:tr w:rsidR="00FF163A" w:rsidRPr="00B92006" w14:paraId="2405FE84" w14:textId="77777777" w:rsidTr="00FF163A">
        <w:tc>
          <w:tcPr>
            <w:tcW w:w="1812" w:type="dxa"/>
          </w:tcPr>
          <w:p w14:paraId="28F5BE71" w14:textId="77777777" w:rsidR="00FF163A" w:rsidRPr="00B92006" w:rsidRDefault="00FF163A" w:rsidP="00FF163A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78" w:type="dxa"/>
          </w:tcPr>
          <w:p w14:paraId="7697C06D" w14:textId="2207001E" w:rsidR="00FF163A" w:rsidRPr="00B92006" w:rsidRDefault="00FF163A" w:rsidP="00FF163A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Without resident children</w:t>
            </w:r>
          </w:p>
        </w:tc>
        <w:tc>
          <w:tcPr>
            <w:tcW w:w="1701" w:type="dxa"/>
          </w:tcPr>
          <w:p w14:paraId="36BE0B76" w14:textId="019C432A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11.6</w:t>
            </w:r>
          </w:p>
        </w:tc>
        <w:tc>
          <w:tcPr>
            <w:tcW w:w="1158" w:type="dxa"/>
          </w:tcPr>
          <w:p w14:paraId="33CA7D11" w14:textId="62C94193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6.0</w:t>
            </w:r>
          </w:p>
        </w:tc>
        <w:tc>
          <w:tcPr>
            <w:tcW w:w="1813" w:type="dxa"/>
          </w:tcPr>
          <w:p w14:paraId="7A2CCEC9" w14:textId="5DE5A1C2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6.9</w:t>
            </w:r>
          </w:p>
        </w:tc>
      </w:tr>
      <w:tr w:rsidR="00FF163A" w:rsidRPr="00B92006" w14:paraId="426FC60E" w14:textId="77777777" w:rsidTr="00FF163A">
        <w:tc>
          <w:tcPr>
            <w:tcW w:w="1812" w:type="dxa"/>
          </w:tcPr>
          <w:p w14:paraId="1501CD6C" w14:textId="77777777" w:rsidR="00FF163A" w:rsidRPr="00B92006" w:rsidRDefault="00FF163A" w:rsidP="00FF163A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78" w:type="dxa"/>
          </w:tcPr>
          <w:p w14:paraId="013255F2" w14:textId="4D7B705C" w:rsidR="00FF163A" w:rsidRPr="00B92006" w:rsidRDefault="00FF163A" w:rsidP="00FF163A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With at least one resident child under 25</w:t>
            </w:r>
          </w:p>
        </w:tc>
        <w:tc>
          <w:tcPr>
            <w:tcW w:w="1701" w:type="dxa"/>
          </w:tcPr>
          <w:p w14:paraId="0317D0C0" w14:textId="13924DF2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13.4</w:t>
            </w:r>
          </w:p>
        </w:tc>
        <w:tc>
          <w:tcPr>
            <w:tcW w:w="1158" w:type="dxa"/>
          </w:tcPr>
          <w:p w14:paraId="43B01331" w14:textId="6EC4EC31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10.0</w:t>
            </w:r>
          </w:p>
        </w:tc>
        <w:tc>
          <w:tcPr>
            <w:tcW w:w="1813" w:type="dxa"/>
          </w:tcPr>
          <w:p w14:paraId="54DD220A" w14:textId="13A6053F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14.1</w:t>
            </w:r>
          </w:p>
        </w:tc>
      </w:tr>
      <w:tr w:rsidR="00FF163A" w:rsidRPr="00B92006" w14:paraId="5085055E" w14:textId="77777777" w:rsidTr="00FF163A">
        <w:tc>
          <w:tcPr>
            <w:tcW w:w="1812" w:type="dxa"/>
          </w:tcPr>
          <w:p w14:paraId="550DDA8E" w14:textId="77777777" w:rsidR="00FF163A" w:rsidRPr="00B92006" w:rsidRDefault="00FF163A" w:rsidP="00FF163A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78" w:type="dxa"/>
          </w:tcPr>
          <w:p w14:paraId="0F8660C4" w14:textId="6323F5A9" w:rsidR="00FF163A" w:rsidRPr="00B92006" w:rsidRDefault="00FF163A" w:rsidP="00FF163A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Youngest resident son/daughter 25 or older</w:t>
            </w:r>
          </w:p>
        </w:tc>
        <w:tc>
          <w:tcPr>
            <w:tcW w:w="1701" w:type="dxa"/>
          </w:tcPr>
          <w:p w14:paraId="313AF740" w14:textId="759441F0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1.1</w:t>
            </w:r>
          </w:p>
        </w:tc>
        <w:tc>
          <w:tcPr>
            <w:tcW w:w="1158" w:type="dxa"/>
          </w:tcPr>
          <w:p w14:paraId="3E2C26FF" w14:textId="53B28375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2.5</w:t>
            </w:r>
          </w:p>
        </w:tc>
        <w:tc>
          <w:tcPr>
            <w:tcW w:w="1813" w:type="dxa"/>
          </w:tcPr>
          <w:p w14:paraId="3EE0C8D2" w14:textId="0269EF4E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1.9</w:t>
            </w:r>
          </w:p>
        </w:tc>
      </w:tr>
      <w:tr w:rsidR="00FF163A" w:rsidRPr="00B92006" w14:paraId="715ABC81" w14:textId="77777777" w:rsidTr="006521B0">
        <w:tc>
          <w:tcPr>
            <w:tcW w:w="4390" w:type="dxa"/>
            <w:gridSpan w:val="2"/>
          </w:tcPr>
          <w:p w14:paraId="1BC85963" w14:textId="7C7BE5FA" w:rsidR="00FF163A" w:rsidRPr="00B92006" w:rsidRDefault="00FF163A" w:rsidP="00FF163A">
            <w:pPr>
              <w:spacing w:before="12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Lone parent families</w:t>
            </w:r>
          </w:p>
        </w:tc>
        <w:tc>
          <w:tcPr>
            <w:tcW w:w="1701" w:type="dxa"/>
          </w:tcPr>
          <w:p w14:paraId="7019E4A8" w14:textId="7FEBDD9E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21.6</w:t>
            </w:r>
          </w:p>
        </w:tc>
        <w:tc>
          <w:tcPr>
            <w:tcW w:w="1158" w:type="dxa"/>
          </w:tcPr>
          <w:p w14:paraId="2C65FBFD" w14:textId="16A1F627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39.5</w:t>
            </w:r>
          </w:p>
        </w:tc>
        <w:tc>
          <w:tcPr>
            <w:tcW w:w="1813" w:type="dxa"/>
          </w:tcPr>
          <w:p w14:paraId="5F80F598" w14:textId="5E6D0477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24.1</w:t>
            </w:r>
          </w:p>
        </w:tc>
      </w:tr>
      <w:tr w:rsidR="00FF163A" w:rsidRPr="00B92006" w14:paraId="48D451E6" w14:textId="77777777" w:rsidTr="006521B0">
        <w:tc>
          <w:tcPr>
            <w:tcW w:w="4390" w:type="dxa"/>
            <w:gridSpan w:val="2"/>
          </w:tcPr>
          <w:p w14:paraId="02EBE122" w14:textId="2B77B02D" w:rsidR="00FF163A" w:rsidRPr="00B92006" w:rsidRDefault="00FF163A" w:rsidP="00FF163A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Lone father families</w:t>
            </w:r>
          </w:p>
        </w:tc>
        <w:tc>
          <w:tcPr>
            <w:tcW w:w="1701" w:type="dxa"/>
          </w:tcPr>
          <w:p w14:paraId="2E289557" w14:textId="2369E549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2.6</w:t>
            </w:r>
          </w:p>
        </w:tc>
        <w:tc>
          <w:tcPr>
            <w:tcW w:w="1158" w:type="dxa"/>
          </w:tcPr>
          <w:p w14:paraId="65F60917" w14:textId="308DDC6A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6.6</w:t>
            </w:r>
          </w:p>
        </w:tc>
        <w:tc>
          <w:tcPr>
            <w:tcW w:w="1813" w:type="dxa"/>
          </w:tcPr>
          <w:p w14:paraId="2AC7AA13" w14:textId="4D4D9F81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3.4</w:t>
            </w:r>
          </w:p>
        </w:tc>
      </w:tr>
      <w:tr w:rsidR="00FF163A" w:rsidRPr="00B92006" w14:paraId="6571C6FA" w14:textId="77777777" w:rsidTr="00FF163A">
        <w:tc>
          <w:tcPr>
            <w:tcW w:w="1812" w:type="dxa"/>
          </w:tcPr>
          <w:p w14:paraId="1456CAD6" w14:textId="77777777" w:rsidR="00FF163A" w:rsidRPr="00B92006" w:rsidRDefault="00FF163A" w:rsidP="00FF163A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78" w:type="dxa"/>
          </w:tcPr>
          <w:p w14:paraId="60B024E5" w14:textId="35ECFF44" w:rsidR="00FF163A" w:rsidRPr="00B92006" w:rsidRDefault="00FF163A" w:rsidP="00FF163A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With at least one resident child under 25</w:t>
            </w:r>
          </w:p>
        </w:tc>
        <w:tc>
          <w:tcPr>
            <w:tcW w:w="1701" w:type="dxa"/>
          </w:tcPr>
          <w:p w14:paraId="60844506" w14:textId="6009A0A7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1.7</w:t>
            </w:r>
          </w:p>
        </w:tc>
        <w:tc>
          <w:tcPr>
            <w:tcW w:w="1158" w:type="dxa"/>
          </w:tcPr>
          <w:p w14:paraId="4D58DD3B" w14:textId="6C651569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4.1</w:t>
            </w:r>
          </w:p>
        </w:tc>
        <w:tc>
          <w:tcPr>
            <w:tcW w:w="1813" w:type="dxa"/>
          </w:tcPr>
          <w:p w14:paraId="652C0968" w14:textId="7CF348D0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1.7</w:t>
            </w:r>
          </w:p>
        </w:tc>
      </w:tr>
      <w:tr w:rsidR="00FF163A" w:rsidRPr="00B92006" w14:paraId="4C25C19D" w14:textId="77777777" w:rsidTr="00FF163A">
        <w:tc>
          <w:tcPr>
            <w:tcW w:w="1812" w:type="dxa"/>
          </w:tcPr>
          <w:p w14:paraId="58EB49BF" w14:textId="77777777" w:rsidR="00FF163A" w:rsidRPr="00B92006" w:rsidRDefault="00FF163A" w:rsidP="00FF163A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78" w:type="dxa"/>
          </w:tcPr>
          <w:p w14:paraId="557917ED" w14:textId="1C3D5484" w:rsidR="00FF163A" w:rsidRPr="00B92006" w:rsidRDefault="00FF163A" w:rsidP="00FF163A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Youngest resident son/daughter 25 or older</w:t>
            </w:r>
          </w:p>
        </w:tc>
        <w:tc>
          <w:tcPr>
            <w:tcW w:w="1701" w:type="dxa"/>
          </w:tcPr>
          <w:p w14:paraId="2197BC63" w14:textId="77E016A7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1.0</w:t>
            </w:r>
          </w:p>
        </w:tc>
        <w:tc>
          <w:tcPr>
            <w:tcW w:w="1158" w:type="dxa"/>
          </w:tcPr>
          <w:p w14:paraId="5522DAE9" w14:textId="6AD2088A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2.5</w:t>
            </w:r>
          </w:p>
        </w:tc>
        <w:tc>
          <w:tcPr>
            <w:tcW w:w="1813" w:type="dxa"/>
          </w:tcPr>
          <w:p w14:paraId="3534F848" w14:textId="169E8A59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1.7</w:t>
            </w:r>
          </w:p>
        </w:tc>
      </w:tr>
      <w:tr w:rsidR="00FF163A" w:rsidRPr="00B92006" w14:paraId="32D0DFBC" w14:textId="77777777" w:rsidTr="006521B0">
        <w:tc>
          <w:tcPr>
            <w:tcW w:w="4390" w:type="dxa"/>
            <w:gridSpan w:val="2"/>
          </w:tcPr>
          <w:p w14:paraId="082270E4" w14:textId="74F32EE6" w:rsidR="00FF163A" w:rsidRPr="00B92006" w:rsidRDefault="00FF163A" w:rsidP="00FF163A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Lone mother families</w:t>
            </w:r>
          </w:p>
        </w:tc>
        <w:tc>
          <w:tcPr>
            <w:tcW w:w="1701" w:type="dxa"/>
          </w:tcPr>
          <w:p w14:paraId="2C519ECA" w14:textId="1980C5C4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19.0</w:t>
            </w:r>
          </w:p>
        </w:tc>
        <w:tc>
          <w:tcPr>
            <w:tcW w:w="1158" w:type="dxa"/>
          </w:tcPr>
          <w:p w14:paraId="52457B8E" w14:textId="7C2FA4B9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32.9</w:t>
            </w:r>
          </w:p>
        </w:tc>
        <w:tc>
          <w:tcPr>
            <w:tcW w:w="1813" w:type="dxa"/>
          </w:tcPr>
          <w:p w14:paraId="4EA1DE10" w14:textId="4ACF5A12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20.7</w:t>
            </w:r>
          </w:p>
        </w:tc>
      </w:tr>
      <w:tr w:rsidR="00FF163A" w:rsidRPr="00B92006" w14:paraId="452CD95A" w14:textId="77777777" w:rsidTr="00FF163A">
        <w:tc>
          <w:tcPr>
            <w:tcW w:w="1812" w:type="dxa"/>
          </w:tcPr>
          <w:p w14:paraId="1223F38F" w14:textId="77777777" w:rsidR="00FF163A" w:rsidRPr="00B92006" w:rsidRDefault="00FF163A" w:rsidP="00FF163A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78" w:type="dxa"/>
          </w:tcPr>
          <w:p w14:paraId="08437AA3" w14:textId="0FBF50F7" w:rsidR="00FF163A" w:rsidRPr="00B92006" w:rsidRDefault="00FF163A" w:rsidP="00FF163A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With at least one resident child under 25</w:t>
            </w:r>
          </w:p>
        </w:tc>
        <w:tc>
          <w:tcPr>
            <w:tcW w:w="1701" w:type="dxa"/>
          </w:tcPr>
          <w:p w14:paraId="1FC46FD8" w14:textId="3991C0D7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12.1</w:t>
            </w:r>
          </w:p>
        </w:tc>
        <w:tc>
          <w:tcPr>
            <w:tcW w:w="1158" w:type="dxa"/>
          </w:tcPr>
          <w:p w14:paraId="4E0386E3" w14:textId="279FB8EC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20.4</w:t>
            </w:r>
          </w:p>
        </w:tc>
        <w:tc>
          <w:tcPr>
            <w:tcW w:w="1813" w:type="dxa"/>
          </w:tcPr>
          <w:p w14:paraId="785A8F00" w14:textId="3585EDC8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11.3</w:t>
            </w:r>
          </w:p>
        </w:tc>
      </w:tr>
      <w:tr w:rsidR="00FF163A" w:rsidRPr="00B92006" w14:paraId="6EAA98D9" w14:textId="77777777" w:rsidTr="00FF163A">
        <w:tc>
          <w:tcPr>
            <w:tcW w:w="1812" w:type="dxa"/>
          </w:tcPr>
          <w:p w14:paraId="649B3054" w14:textId="77777777" w:rsidR="00FF163A" w:rsidRPr="00B92006" w:rsidRDefault="00FF163A" w:rsidP="00FF163A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78" w:type="dxa"/>
          </w:tcPr>
          <w:p w14:paraId="3099F02A" w14:textId="6DFFE666" w:rsidR="00FF163A" w:rsidRPr="00B92006" w:rsidRDefault="00FF163A" w:rsidP="00FF163A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Youngest resident son/daughter 25 or older</w:t>
            </w:r>
          </w:p>
        </w:tc>
        <w:tc>
          <w:tcPr>
            <w:tcW w:w="1701" w:type="dxa"/>
          </w:tcPr>
          <w:p w14:paraId="1C9F5972" w14:textId="0D36C19B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6.9</w:t>
            </w:r>
          </w:p>
        </w:tc>
        <w:tc>
          <w:tcPr>
            <w:tcW w:w="1158" w:type="dxa"/>
          </w:tcPr>
          <w:p w14:paraId="28372A41" w14:textId="08AE162D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12.5</w:t>
            </w:r>
          </w:p>
        </w:tc>
        <w:tc>
          <w:tcPr>
            <w:tcW w:w="1813" w:type="dxa"/>
          </w:tcPr>
          <w:p w14:paraId="675CD029" w14:textId="19957F09" w:rsidR="00FF163A" w:rsidRPr="00B92006" w:rsidRDefault="00FF163A" w:rsidP="00FF163A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9.4</w:t>
            </w:r>
          </w:p>
        </w:tc>
      </w:tr>
      <w:tr w:rsidR="00FF163A" w:rsidRPr="00B92006" w14:paraId="74B4C4B2" w14:textId="77777777" w:rsidTr="006521B0">
        <w:tc>
          <w:tcPr>
            <w:tcW w:w="4390" w:type="dxa"/>
            <w:gridSpan w:val="2"/>
          </w:tcPr>
          <w:p w14:paraId="768541CB" w14:textId="2794DD9C" w:rsidR="00FF163A" w:rsidRPr="00B92006" w:rsidRDefault="00FF163A" w:rsidP="00FF163A">
            <w:pPr>
              <w:spacing w:before="12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701" w:type="dxa"/>
          </w:tcPr>
          <w:p w14:paraId="713A1083" w14:textId="090A67A5" w:rsidR="00FF163A" w:rsidRPr="00B92006" w:rsidRDefault="00370764" w:rsidP="00FF163A">
            <w:pPr>
              <w:spacing w:before="120"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100</w:t>
            </w:r>
          </w:p>
        </w:tc>
        <w:tc>
          <w:tcPr>
            <w:tcW w:w="1158" w:type="dxa"/>
          </w:tcPr>
          <w:p w14:paraId="5B9876E3" w14:textId="25A657B8" w:rsidR="00FF163A" w:rsidRPr="00B92006" w:rsidRDefault="00370764" w:rsidP="00FF163A">
            <w:pPr>
              <w:spacing w:before="120"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100</w:t>
            </w:r>
          </w:p>
        </w:tc>
        <w:tc>
          <w:tcPr>
            <w:tcW w:w="1813" w:type="dxa"/>
          </w:tcPr>
          <w:p w14:paraId="0315C1B4" w14:textId="3B9D4552" w:rsidR="00FF163A" w:rsidRPr="00B92006" w:rsidRDefault="00370764" w:rsidP="00FF163A">
            <w:pPr>
              <w:spacing w:before="120"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100</w:t>
            </w:r>
          </w:p>
        </w:tc>
      </w:tr>
    </w:tbl>
    <w:p w14:paraId="08D3D6B2" w14:textId="5410D06E" w:rsidR="00FF163A" w:rsidRPr="00B92006" w:rsidRDefault="00370764" w:rsidP="00B2150F">
      <w:pPr>
        <w:pStyle w:val="NSMnormal"/>
        <w:spacing w:after="120"/>
      </w:pPr>
      <w:r w:rsidRPr="00B92006">
        <w:t xml:space="preserve">The distribution of </w:t>
      </w:r>
      <w:r w:rsidR="00155FDE">
        <w:t xml:space="preserve">the </w:t>
      </w:r>
      <w:r w:rsidRPr="00B92006">
        <w:rPr>
          <w:b/>
        </w:rPr>
        <w:t>size of family nucleus</w:t>
      </w:r>
      <w:r w:rsidRPr="00B92006">
        <w:t xml:space="preserve"> is given in </w:t>
      </w:r>
      <w:r w:rsidRPr="00B92006">
        <w:fldChar w:fldCharType="begin"/>
      </w:r>
      <w:r w:rsidRPr="00B92006">
        <w:instrText xml:space="preserve"> REF _Ref8644221 \h  \* MERGEFORMAT </w:instrText>
      </w:r>
      <w:r w:rsidRPr="00B92006">
        <w:fldChar w:fldCharType="separate"/>
      </w:r>
      <w:r w:rsidR="00BD5BE2" w:rsidRPr="00B92006">
        <w:t xml:space="preserve">Table </w:t>
      </w:r>
      <w:r w:rsidR="00BD5BE2" w:rsidRPr="00B92006">
        <w:rPr>
          <w:noProof/>
        </w:rPr>
        <w:t>4</w:t>
      </w:r>
      <w:r w:rsidRPr="00B92006">
        <w:fldChar w:fldCharType="end"/>
      </w:r>
      <w:r w:rsidRPr="00B92006">
        <w:t xml:space="preserve">. </w:t>
      </w:r>
      <w:r w:rsidR="00C75B94" w:rsidRPr="00B92006">
        <w:t>Both register</w:t>
      </w:r>
      <w:r w:rsidR="00625582" w:rsidRPr="00B92006">
        <w:t>-</w:t>
      </w:r>
      <w:r w:rsidR="00C75B94" w:rsidRPr="00B92006">
        <w:t xml:space="preserve">based methods show </w:t>
      </w:r>
      <w:r w:rsidR="00E52720" w:rsidRPr="00B92006">
        <w:t>larger families</w:t>
      </w:r>
      <w:r w:rsidR="00C75B94" w:rsidRPr="00B92006">
        <w:t>. The smallest possible number of family members is two</w:t>
      </w:r>
      <w:r w:rsidR="007E4962">
        <w:t xml:space="preserve"> </w:t>
      </w:r>
      <w:r w:rsidR="007E4962">
        <w:rPr>
          <w:shd w:val="clear" w:color="auto" w:fill="FFFFFF"/>
        </w:rPr>
        <w:t xml:space="preserve">– </w:t>
      </w:r>
      <w:r w:rsidR="00C75B94" w:rsidRPr="00B92006">
        <w:t xml:space="preserve">single person is not considered </w:t>
      </w:r>
      <w:r w:rsidR="00290416" w:rsidRPr="00B92006">
        <w:t>a family. With register</w:t>
      </w:r>
      <w:r w:rsidR="00625582" w:rsidRPr="00B92006">
        <w:t>-</w:t>
      </w:r>
      <w:r w:rsidR="00290416" w:rsidRPr="00B92006">
        <w:t>based methods, the share of two</w:t>
      </w:r>
      <w:r w:rsidR="00625582" w:rsidRPr="00B92006">
        <w:t>-</w:t>
      </w:r>
      <w:r w:rsidR="00290416" w:rsidRPr="00B92006">
        <w:t xml:space="preserve">person families is significantly lower (48% with PR, 45% with partnership index) than in CSHPR (55%). This is directly related to underestimating the couples with </w:t>
      </w:r>
      <w:r w:rsidR="00E52720" w:rsidRPr="00B92006">
        <w:t>no resident children</w:t>
      </w:r>
      <w:r w:rsidR="007E4962">
        <w:t xml:space="preserve"> </w:t>
      </w:r>
      <w:r w:rsidR="007E4962">
        <w:rPr>
          <w:shd w:val="clear" w:color="auto" w:fill="FFFFFF"/>
        </w:rPr>
        <w:t xml:space="preserve">– </w:t>
      </w:r>
      <w:r w:rsidR="00E52720" w:rsidRPr="00B92006">
        <w:t xml:space="preserve">all of these families have two members. </w:t>
      </w:r>
    </w:p>
    <w:p w14:paraId="646E265C" w14:textId="53218AFC" w:rsidR="00370764" w:rsidRPr="00B92006" w:rsidRDefault="00370764" w:rsidP="00370764">
      <w:pPr>
        <w:pStyle w:val="NSMpealdis"/>
      </w:pPr>
      <w:bookmarkStart w:id="5" w:name="_Ref8644221"/>
      <w:r w:rsidRPr="00B92006">
        <w:t xml:space="preserve">Table </w:t>
      </w:r>
      <w:r w:rsidRPr="00B92006">
        <w:fldChar w:fldCharType="begin"/>
      </w:r>
      <w:r w:rsidRPr="00B92006">
        <w:instrText xml:space="preserve"> SEQ Table \* ARABIC </w:instrText>
      </w:r>
      <w:r w:rsidRPr="00B92006">
        <w:fldChar w:fldCharType="separate"/>
      </w:r>
      <w:r w:rsidR="00BD5BE2" w:rsidRPr="00B92006">
        <w:rPr>
          <w:noProof/>
        </w:rPr>
        <w:t>4</w:t>
      </w:r>
      <w:r w:rsidRPr="00B92006">
        <w:fldChar w:fldCharType="end"/>
      </w:r>
      <w:bookmarkEnd w:id="5"/>
      <w:r w:rsidRPr="00B92006">
        <w:t>. Size of family nucleus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C42C4" w:rsidRPr="00B92006" w14:paraId="24DB49B4" w14:textId="77777777" w:rsidTr="00D74A1B">
        <w:trPr>
          <w:cantSplit/>
          <w:tblHeader/>
        </w:trPr>
        <w:tc>
          <w:tcPr>
            <w:tcW w:w="2265" w:type="dxa"/>
            <w:vMerge w:val="restart"/>
            <w:vAlign w:val="center"/>
          </w:tcPr>
          <w:p w14:paraId="2702A833" w14:textId="0B1A90DA" w:rsidR="008C42C4" w:rsidRPr="00B92006" w:rsidRDefault="008C42C4" w:rsidP="00370764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Size of family nucleus</w:t>
            </w:r>
            <w:r w:rsidR="00370764"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%</w:t>
            </w:r>
          </w:p>
        </w:tc>
        <w:tc>
          <w:tcPr>
            <w:tcW w:w="6797" w:type="dxa"/>
            <w:gridSpan w:val="3"/>
            <w:vAlign w:val="center"/>
          </w:tcPr>
          <w:p w14:paraId="06131362" w14:textId="0EAD7ADD" w:rsidR="008C42C4" w:rsidRPr="00B92006" w:rsidRDefault="008C42C4" w:rsidP="00555CC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Basis of household formation</w:t>
            </w:r>
          </w:p>
        </w:tc>
      </w:tr>
      <w:tr w:rsidR="008C42C4" w:rsidRPr="00B92006" w14:paraId="0A5EEAFE" w14:textId="77777777" w:rsidTr="00555CCA">
        <w:tc>
          <w:tcPr>
            <w:tcW w:w="2265" w:type="dxa"/>
            <w:vMerge/>
          </w:tcPr>
          <w:p w14:paraId="0BA75396" w14:textId="77777777" w:rsidR="008C42C4" w:rsidRPr="00B92006" w:rsidRDefault="008C42C4" w:rsidP="00370764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  <w:vAlign w:val="center"/>
          </w:tcPr>
          <w:p w14:paraId="2D3E6920" w14:textId="6D36B046" w:rsidR="008C42C4" w:rsidRPr="00B92006" w:rsidRDefault="008C42C4" w:rsidP="00555CC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Dwelling</w:t>
            </w:r>
            <w:r w:rsidR="00625582"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based from CSHPR</w:t>
            </w:r>
          </w:p>
        </w:tc>
        <w:tc>
          <w:tcPr>
            <w:tcW w:w="2266" w:type="dxa"/>
            <w:vAlign w:val="center"/>
          </w:tcPr>
          <w:p w14:paraId="4E53BCFA" w14:textId="08BD4D93" w:rsidR="008C42C4" w:rsidRPr="00B92006" w:rsidRDefault="008C42C4" w:rsidP="00555CC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PR only</w:t>
            </w:r>
          </w:p>
        </w:tc>
        <w:tc>
          <w:tcPr>
            <w:tcW w:w="2266" w:type="dxa"/>
            <w:vAlign w:val="center"/>
          </w:tcPr>
          <w:p w14:paraId="7D85A02D" w14:textId="6155C842" w:rsidR="008C42C4" w:rsidRPr="00B92006" w:rsidRDefault="008C42C4" w:rsidP="00555CC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PR + partnership index</w:t>
            </w:r>
          </w:p>
        </w:tc>
      </w:tr>
      <w:tr w:rsidR="008C42C4" w:rsidRPr="00B92006" w14:paraId="2C65C361" w14:textId="77777777" w:rsidTr="008C42C4">
        <w:tc>
          <w:tcPr>
            <w:tcW w:w="2265" w:type="dxa"/>
          </w:tcPr>
          <w:p w14:paraId="7669C380" w14:textId="32F06D3C" w:rsidR="008C42C4" w:rsidRPr="00B92006" w:rsidRDefault="008C42C4" w:rsidP="00370764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2265" w:type="dxa"/>
          </w:tcPr>
          <w:p w14:paraId="527DEC4D" w14:textId="4C9B67CB" w:rsidR="008C42C4" w:rsidRPr="00B92006" w:rsidRDefault="008C42C4" w:rsidP="00370764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54.5</w:t>
            </w:r>
          </w:p>
        </w:tc>
        <w:tc>
          <w:tcPr>
            <w:tcW w:w="2266" w:type="dxa"/>
          </w:tcPr>
          <w:p w14:paraId="43DF27E7" w14:textId="00E9BE27" w:rsidR="008C42C4" w:rsidRPr="00B92006" w:rsidRDefault="008C42C4" w:rsidP="00370764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48.4</w:t>
            </w:r>
          </w:p>
        </w:tc>
        <w:tc>
          <w:tcPr>
            <w:tcW w:w="2266" w:type="dxa"/>
          </w:tcPr>
          <w:p w14:paraId="630AB244" w14:textId="223084C2" w:rsidR="008C42C4" w:rsidRPr="00B92006" w:rsidRDefault="008C42C4" w:rsidP="00370764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45.3</w:t>
            </w:r>
          </w:p>
        </w:tc>
      </w:tr>
      <w:tr w:rsidR="008C42C4" w:rsidRPr="00B92006" w14:paraId="28B1ACE8" w14:textId="77777777" w:rsidTr="008C42C4">
        <w:tc>
          <w:tcPr>
            <w:tcW w:w="2265" w:type="dxa"/>
          </w:tcPr>
          <w:p w14:paraId="5705308F" w14:textId="3A61CEDC" w:rsidR="008C42C4" w:rsidRPr="00B92006" w:rsidRDefault="008C42C4" w:rsidP="00370764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2265" w:type="dxa"/>
          </w:tcPr>
          <w:p w14:paraId="7D24D35C" w14:textId="55499EBB" w:rsidR="008C42C4" w:rsidRPr="00B92006" w:rsidRDefault="008C42C4" w:rsidP="00370764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23.9</w:t>
            </w:r>
          </w:p>
        </w:tc>
        <w:tc>
          <w:tcPr>
            <w:tcW w:w="2266" w:type="dxa"/>
          </w:tcPr>
          <w:p w14:paraId="08CD6277" w14:textId="045B5523" w:rsidR="008C42C4" w:rsidRPr="00B92006" w:rsidRDefault="008C42C4" w:rsidP="00370764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29.1</w:t>
            </w:r>
          </w:p>
        </w:tc>
        <w:tc>
          <w:tcPr>
            <w:tcW w:w="2266" w:type="dxa"/>
          </w:tcPr>
          <w:p w14:paraId="4A473464" w14:textId="3EDDD417" w:rsidR="008C42C4" w:rsidRPr="00B92006" w:rsidRDefault="008C42C4" w:rsidP="00370764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27.4</w:t>
            </w:r>
          </w:p>
        </w:tc>
      </w:tr>
      <w:tr w:rsidR="008C42C4" w:rsidRPr="00B92006" w14:paraId="7425803E" w14:textId="77777777" w:rsidTr="008C42C4">
        <w:tc>
          <w:tcPr>
            <w:tcW w:w="2265" w:type="dxa"/>
          </w:tcPr>
          <w:p w14:paraId="43430C2F" w14:textId="5F1E4EEB" w:rsidR="008C42C4" w:rsidRPr="00B92006" w:rsidRDefault="008C42C4" w:rsidP="00370764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4</w:t>
            </w:r>
          </w:p>
        </w:tc>
        <w:tc>
          <w:tcPr>
            <w:tcW w:w="2265" w:type="dxa"/>
          </w:tcPr>
          <w:p w14:paraId="7E3740FC" w14:textId="28C68209" w:rsidR="008C42C4" w:rsidRPr="00B92006" w:rsidRDefault="008C42C4" w:rsidP="00370764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16.5</w:t>
            </w:r>
          </w:p>
        </w:tc>
        <w:tc>
          <w:tcPr>
            <w:tcW w:w="2266" w:type="dxa"/>
          </w:tcPr>
          <w:p w14:paraId="28C5028D" w14:textId="627765FD" w:rsidR="008C42C4" w:rsidRPr="00B92006" w:rsidRDefault="008C42C4" w:rsidP="00370764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16.1</w:t>
            </w:r>
          </w:p>
        </w:tc>
        <w:tc>
          <w:tcPr>
            <w:tcW w:w="2266" w:type="dxa"/>
          </w:tcPr>
          <w:p w14:paraId="28FFB091" w14:textId="19908922" w:rsidR="008C42C4" w:rsidRPr="00B92006" w:rsidRDefault="008C42C4" w:rsidP="00370764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19.5</w:t>
            </w:r>
          </w:p>
        </w:tc>
      </w:tr>
      <w:tr w:rsidR="008C42C4" w:rsidRPr="00B92006" w14:paraId="6BA7FDBE" w14:textId="77777777" w:rsidTr="008C42C4">
        <w:tc>
          <w:tcPr>
            <w:tcW w:w="2265" w:type="dxa"/>
          </w:tcPr>
          <w:p w14:paraId="5DB5B4FF" w14:textId="58E9983E" w:rsidR="008C42C4" w:rsidRPr="00B92006" w:rsidRDefault="008C42C4" w:rsidP="00370764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2265" w:type="dxa"/>
          </w:tcPr>
          <w:p w14:paraId="1EED78D3" w14:textId="148279E3" w:rsidR="008C42C4" w:rsidRPr="00B92006" w:rsidRDefault="008C42C4" w:rsidP="00370764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3.9</w:t>
            </w:r>
          </w:p>
        </w:tc>
        <w:tc>
          <w:tcPr>
            <w:tcW w:w="2266" w:type="dxa"/>
          </w:tcPr>
          <w:p w14:paraId="1740F67E" w14:textId="6C8ABA80" w:rsidR="008C42C4" w:rsidRPr="00B92006" w:rsidRDefault="008C42C4" w:rsidP="00370764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4.6</w:t>
            </w:r>
          </w:p>
        </w:tc>
        <w:tc>
          <w:tcPr>
            <w:tcW w:w="2266" w:type="dxa"/>
          </w:tcPr>
          <w:p w14:paraId="323D1053" w14:textId="2121B3D1" w:rsidR="008C42C4" w:rsidRPr="00B92006" w:rsidRDefault="008C42C4" w:rsidP="00370764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5.6</w:t>
            </w:r>
          </w:p>
        </w:tc>
      </w:tr>
      <w:tr w:rsidR="008C42C4" w:rsidRPr="00B92006" w14:paraId="086A55A2" w14:textId="77777777" w:rsidTr="008C42C4">
        <w:tc>
          <w:tcPr>
            <w:tcW w:w="2265" w:type="dxa"/>
          </w:tcPr>
          <w:p w14:paraId="26BE47B4" w14:textId="24FC2162" w:rsidR="008C42C4" w:rsidRPr="00B92006" w:rsidRDefault="008C42C4" w:rsidP="00370764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6+</w:t>
            </w:r>
          </w:p>
        </w:tc>
        <w:tc>
          <w:tcPr>
            <w:tcW w:w="2265" w:type="dxa"/>
          </w:tcPr>
          <w:p w14:paraId="6CD18A99" w14:textId="779978E0" w:rsidR="008C42C4" w:rsidRPr="00B92006" w:rsidRDefault="008C42C4" w:rsidP="00370764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1.3</w:t>
            </w:r>
          </w:p>
        </w:tc>
        <w:tc>
          <w:tcPr>
            <w:tcW w:w="2266" w:type="dxa"/>
          </w:tcPr>
          <w:p w14:paraId="3DBEF0FD" w14:textId="55BF2621" w:rsidR="008C42C4" w:rsidRPr="00B92006" w:rsidRDefault="008C42C4" w:rsidP="00370764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1.9</w:t>
            </w:r>
          </w:p>
        </w:tc>
        <w:tc>
          <w:tcPr>
            <w:tcW w:w="2266" w:type="dxa"/>
          </w:tcPr>
          <w:p w14:paraId="612FF8D8" w14:textId="2126AA77" w:rsidR="008C42C4" w:rsidRPr="00B92006" w:rsidRDefault="008C42C4" w:rsidP="00370764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2.1</w:t>
            </w:r>
          </w:p>
        </w:tc>
      </w:tr>
      <w:tr w:rsidR="00370764" w:rsidRPr="00B92006" w14:paraId="208419AA" w14:textId="77777777" w:rsidTr="008C42C4">
        <w:tc>
          <w:tcPr>
            <w:tcW w:w="2265" w:type="dxa"/>
          </w:tcPr>
          <w:p w14:paraId="656346CE" w14:textId="06D94C94" w:rsidR="00370764" w:rsidRPr="00B92006" w:rsidRDefault="00370764" w:rsidP="00370764">
            <w:pPr>
              <w:spacing w:before="12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265" w:type="dxa"/>
          </w:tcPr>
          <w:p w14:paraId="2CA02E52" w14:textId="595B779F" w:rsidR="00370764" w:rsidRPr="00B92006" w:rsidRDefault="00370764" w:rsidP="00370764">
            <w:pPr>
              <w:spacing w:before="120"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100</w:t>
            </w:r>
          </w:p>
        </w:tc>
        <w:tc>
          <w:tcPr>
            <w:tcW w:w="2266" w:type="dxa"/>
          </w:tcPr>
          <w:p w14:paraId="181DBF55" w14:textId="2508EEE6" w:rsidR="00370764" w:rsidRPr="00B92006" w:rsidRDefault="00370764" w:rsidP="00370764">
            <w:pPr>
              <w:spacing w:before="120"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100</w:t>
            </w:r>
          </w:p>
        </w:tc>
        <w:tc>
          <w:tcPr>
            <w:tcW w:w="2266" w:type="dxa"/>
          </w:tcPr>
          <w:p w14:paraId="4841D48E" w14:textId="62C1A2C1" w:rsidR="00370764" w:rsidRPr="00B92006" w:rsidRDefault="00370764" w:rsidP="00370764">
            <w:pPr>
              <w:spacing w:before="120"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100</w:t>
            </w:r>
          </w:p>
        </w:tc>
      </w:tr>
      <w:tr w:rsidR="008C42C4" w:rsidRPr="00B92006" w14:paraId="73D3C05E" w14:textId="77777777" w:rsidTr="008C42C4">
        <w:tc>
          <w:tcPr>
            <w:tcW w:w="2265" w:type="dxa"/>
          </w:tcPr>
          <w:p w14:paraId="7263CF30" w14:textId="5E87642A" w:rsidR="008C42C4" w:rsidRPr="00B92006" w:rsidRDefault="008C42C4" w:rsidP="00370764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Mean</w:t>
            </w:r>
            <w:r w:rsidR="00370764"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size of family nucleus</w:t>
            </w:r>
          </w:p>
        </w:tc>
        <w:tc>
          <w:tcPr>
            <w:tcW w:w="2265" w:type="dxa"/>
          </w:tcPr>
          <w:p w14:paraId="7A104C23" w14:textId="66F0AC0D" w:rsidR="008C42C4" w:rsidRPr="00B92006" w:rsidRDefault="008C42C4" w:rsidP="00370764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2.7</w:t>
            </w:r>
          </w:p>
        </w:tc>
        <w:tc>
          <w:tcPr>
            <w:tcW w:w="2266" w:type="dxa"/>
          </w:tcPr>
          <w:p w14:paraId="5E45C38A" w14:textId="3A0569C1" w:rsidR="008C42C4" w:rsidRPr="00B92006" w:rsidRDefault="008C42C4" w:rsidP="00370764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2.8</w:t>
            </w:r>
          </w:p>
        </w:tc>
        <w:tc>
          <w:tcPr>
            <w:tcW w:w="2266" w:type="dxa"/>
          </w:tcPr>
          <w:p w14:paraId="356B6378" w14:textId="7CB6F4B1" w:rsidR="008C42C4" w:rsidRPr="00B92006" w:rsidRDefault="008C42C4" w:rsidP="00370764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2.9</w:t>
            </w:r>
          </w:p>
        </w:tc>
      </w:tr>
    </w:tbl>
    <w:p w14:paraId="1E211565" w14:textId="77777777" w:rsidR="00C20854" w:rsidRDefault="00C20854" w:rsidP="00655547">
      <w:pPr>
        <w:pStyle w:val="NSMnormal"/>
      </w:pPr>
    </w:p>
    <w:p w14:paraId="291FDE52" w14:textId="40698D94" w:rsidR="006521B0" w:rsidRPr="00B92006" w:rsidRDefault="006521B0" w:rsidP="00655547">
      <w:pPr>
        <w:pStyle w:val="NSMnormal"/>
      </w:pPr>
      <w:r w:rsidRPr="00B92006">
        <w:t xml:space="preserve">To compare </w:t>
      </w:r>
      <w:r w:rsidR="00C20854">
        <w:t xml:space="preserve">the </w:t>
      </w:r>
      <w:r w:rsidRPr="00B92006">
        <w:t xml:space="preserve">methods by </w:t>
      </w:r>
      <w:r w:rsidRPr="00B92006">
        <w:rPr>
          <w:b/>
        </w:rPr>
        <w:t>family status</w:t>
      </w:r>
      <w:r w:rsidRPr="00B92006">
        <w:t xml:space="preserve">, we exclude CSHPR respondents who </w:t>
      </w:r>
      <w:r w:rsidR="00524AC3" w:rsidRPr="00B92006">
        <w:t xml:space="preserve">meet any of </w:t>
      </w:r>
      <w:r w:rsidR="00C20854">
        <w:t xml:space="preserve">the </w:t>
      </w:r>
      <w:r w:rsidR="00524AC3" w:rsidRPr="00B92006">
        <w:t xml:space="preserve">following </w:t>
      </w:r>
      <w:r w:rsidR="00524AC3" w:rsidRPr="00847D6B">
        <w:t>criteria</w:t>
      </w:r>
      <w:r w:rsidR="00C20854" w:rsidRPr="00190D6B">
        <w:t>:</w:t>
      </w:r>
    </w:p>
    <w:p w14:paraId="1F5BAE92" w14:textId="1118694C" w:rsidR="006521B0" w:rsidRPr="00B92006" w:rsidRDefault="006521B0" w:rsidP="00655547">
      <w:pPr>
        <w:pStyle w:val="NSMnormal"/>
      </w:pPr>
      <w:r w:rsidRPr="00B92006">
        <w:t xml:space="preserve">1) </w:t>
      </w:r>
      <w:r w:rsidR="00524AC3" w:rsidRPr="00B92006">
        <w:t>Person</w:t>
      </w:r>
      <w:r w:rsidRPr="00B92006">
        <w:t xml:space="preserve"> does not belong to </w:t>
      </w:r>
      <w:r w:rsidR="008C0A70" w:rsidRPr="00B92006">
        <w:t xml:space="preserve">private </w:t>
      </w:r>
      <w:r w:rsidRPr="00B92006">
        <w:t>household by register data</w:t>
      </w:r>
      <w:r w:rsidR="00FF3473" w:rsidRPr="00B92006">
        <w:t>.</w:t>
      </w:r>
      <w:r w:rsidRPr="00B92006">
        <w:t xml:space="preserve"> </w:t>
      </w:r>
    </w:p>
    <w:p w14:paraId="67A06C59" w14:textId="34C23004" w:rsidR="006521B0" w:rsidRPr="00B92006" w:rsidRDefault="006521B0" w:rsidP="00655547">
      <w:pPr>
        <w:pStyle w:val="NSMnormal"/>
      </w:pPr>
      <w:r w:rsidRPr="00B92006">
        <w:t xml:space="preserve">2) </w:t>
      </w:r>
      <w:r w:rsidR="00524AC3" w:rsidRPr="00B92006">
        <w:t>Person</w:t>
      </w:r>
      <w:r w:rsidRPr="00B92006">
        <w:t xml:space="preserve"> does not appear in registers as of </w:t>
      </w:r>
      <w:r w:rsidR="00FF3473" w:rsidRPr="00B92006">
        <w:t>1 January</w:t>
      </w:r>
      <w:r w:rsidRPr="00B92006">
        <w:t xml:space="preserve"> 2018 (including 62 babies born during 2018)</w:t>
      </w:r>
      <w:r w:rsidR="00FF3473" w:rsidRPr="00B92006">
        <w:t>.</w:t>
      </w:r>
      <w:r w:rsidRPr="00B92006">
        <w:t xml:space="preserve"> </w:t>
      </w:r>
    </w:p>
    <w:p w14:paraId="2E178AD7" w14:textId="1DD85F4B" w:rsidR="008C42C4" w:rsidRPr="00B92006" w:rsidRDefault="006521B0" w:rsidP="00655547">
      <w:pPr>
        <w:pStyle w:val="NSMnormal"/>
      </w:pPr>
      <w:r w:rsidRPr="00B92006">
        <w:t xml:space="preserve">3) </w:t>
      </w:r>
      <w:r w:rsidR="00524AC3" w:rsidRPr="00B92006">
        <w:t>Person’s</w:t>
      </w:r>
      <w:r w:rsidRPr="00B92006">
        <w:t xml:space="preserve"> data is insufficient to link register </w:t>
      </w:r>
      <w:r w:rsidR="00832FD3" w:rsidRPr="00B92006">
        <w:t>data;</w:t>
      </w:r>
      <w:r w:rsidRPr="00B92006">
        <w:t xml:space="preserve"> their household members are also excluded.</w:t>
      </w:r>
    </w:p>
    <w:p w14:paraId="3CAA9AAD" w14:textId="35F085C7" w:rsidR="00524AC3" w:rsidRPr="00B92006" w:rsidRDefault="00524AC3" w:rsidP="00655547">
      <w:pPr>
        <w:pStyle w:val="NSMnormal"/>
      </w:pPr>
      <w:r w:rsidRPr="00B92006">
        <w:t xml:space="preserve">The distribution by family status of </w:t>
      </w:r>
      <w:r w:rsidR="00C20854">
        <w:t xml:space="preserve">the </w:t>
      </w:r>
      <w:r w:rsidRPr="00B92006">
        <w:t xml:space="preserve">remaining 10,435 respondents is given in </w:t>
      </w:r>
      <w:r w:rsidRPr="00B92006">
        <w:fldChar w:fldCharType="begin"/>
      </w:r>
      <w:r w:rsidRPr="00B92006">
        <w:instrText xml:space="preserve"> REF _Ref8651875 \h </w:instrText>
      </w:r>
      <w:r w:rsidRPr="00B92006">
        <w:fldChar w:fldCharType="separate"/>
      </w:r>
      <w:r w:rsidR="00BD5BE2" w:rsidRPr="00B92006">
        <w:t xml:space="preserve">Table </w:t>
      </w:r>
      <w:r w:rsidR="00BD5BE2" w:rsidRPr="00B92006">
        <w:rPr>
          <w:noProof/>
        </w:rPr>
        <w:t>5</w:t>
      </w:r>
      <w:r w:rsidRPr="00B92006">
        <w:fldChar w:fldCharType="end"/>
      </w:r>
      <w:r w:rsidRPr="00B92006">
        <w:t xml:space="preserve">. </w:t>
      </w:r>
      <w:r w:rsidR="00B87F07" w:rsidRPr="00B92006">
        <w:t>Differences in distribution are not affected by sample composition</w:t>
      </w:r>
      <w:r w:rsidR="00832FD3">
        <w:t>,</w:t>
      </w:r>
      <w:r w:rsidR="00B87F07" w:rsidRPr="00B92006">
        <w:t xml:space="preserve"> as it is </w:t>
      </w:r>
      <w:r w:rsidR="00C20854">
        <w:t xml:space="preserve">the </w:t>
      </w:r>
      <w:r w:rsidR="00B87F07" w:rsidRPr="00B92006">
        <w:t>same with all methods.</w:t>
      </w:r>
    </w:p>
    <w:p w14:paraId="14545206" w14:textId="4B75ED0B" w:rsidR="00524AC3" w:rsidRPr="00B92006" w:rsidRDefault="0044273A" w:rsidP="00655547">
      <w:pPr>
        <w:pStyle w:val="NSMnormal"/>
      </w:pPr>
      <w:r w:rsidRPr="00B92006">
        <w:t>In CSHPR households, 45% of people are partners</w:t>
      </w:r>
      <w:r w:rsidR="00365B22" w:rsidRPr="00B92006">
        <w:t xml:space="preserve">, either married or cohabiting. In PR households, only 35% of </w:t>
      </w:r>
      <w:r w:rsidR="00C20854">
        <w:t xml:space="preserve">the </w:t>
      </w:r>
      <w:r w:rsidR="00365B22" w:rsidRPr="00B92006">
        <w:t xml:space="preserve">same people are partners. </w:t>
      </w:r>
      <w:r w:rsidR="00C20854">
        <w:t xml:space="preserve">Application of the </w:t>
      </w:r>
      <w:r w:rsidR="00365B22" w:rsidRPr="00B92006">
        <w:t xml:space="preserve">partnership index </w:t>
      </w:r>
      <w:r w:rsidR="00C20854">
        <w:t>increases</w:t>
      </w:r>
      <w:r w:rsidR="00365B22" w:rsidRPr="00B92006">
        <w:t xml:space="preserve"> the share of partners to </w:t>
      </w:r>
      <w:r w:rsidR="00C20854">
        <w:t xml:space="preserve">45%, i.e. the level of </w:t>
      </w:r>
      <w:r w:rsidR="00365B22" w:rsidRPr="00B92006">
        <w:t>CSHPR</w:t>
      </w:r>
      <w:r w:rsidR="00C20854">
        <w:t>.</w:t>
      </w:r>
      <w:r w:rsidR="00365B22" w:rsidRPr="00B92006">
        <w:t xml:space="preserve"> Still, the partnership index tends to overestimate married partners and underestimate consensual union partners. This observation can be explained by </w:t>
      </w:r>
      <w:r w:rsidR="00365B22" w:rsidRPr="00376E65">
        <w:t>marriages</w:t>
      </w:r>
      <w:r w:rsidR="00C20854" w:rsidRPr="00376E65">
        <w:t>’</w:t>
      </w:r>
      <w:r w:rsidR="00365B22" w:rsidRPr="00B92006">
        <w:t xml:space="preserve"> </w:t>
      </w:r>
      <w:r w:rsidR="00980DC7" w:rsidRPr="00B92006">
        <w:t>large</w:t>
      </w:r>
      <w:r w:rsidR="00365B22" w:rsidRPr="00B92006">
        <w:t xml:space="preserve"> weight in </w:t>
      </w:r>
      <w:r w:rsidR="00C20854">
        <w:t xml:space="preserve">the </w:t>
      </w:r>
      <w:r w:rsidR="00365B22" w:rsidRPr="00B92006">
        <w:t>partnership model. Virtually all married quasi</w:t>
      </w:r>
      <w:r w:rsidR="00625582" w:rsidRPr="00B92006">
        <w:t>-</w:t>
      </w:r>
      <w:r w:rsidR="00365B22" w:rsidRPr="00B92006">
        <w:t xml:space="preserve">couples are classified </w:t>
      </w:r>
      <w:r w:rsidR="00980DC7" w:rsidRPr="00B92006">
        <w:t>as partners</w:t>
      </w:r>
      <w:r w:rsidR="00C43E83" w:rsidRPr="00B92006">
        <w:t>, although</w:t>
      </w:r>
      <w:r w:rsidR="00980DC7" w:rsidRPr="00B92006">
        <w:t xml:space="preserve"> survey data suggests that 10% </w:t>
      </w:r>
      <w:r w:rsidR="00C43E83" w:rsidRPr="00B92006">
        <w:t>of them are not</w:t>
      </w:r>
      <w:r w:rsidR="00980DC7" w:rsidRPr="00B92006">
        <w:t xml:space="preserve"> (</w:t>
      </w:r>
      <w:r w:rsidR="00980DC7" w:rsidRPr="00B92006">
        <w:fldChar w:fldCharType="begin"/>
      </w:r>
      <w:r w:rsidR="00980DC7" w:rsidRPr="00B92006">
        <w:instrText xml:space="preserve"> REF _Ref8042416 \h </w:instrText>
      </w:r>
      <w:r w:rsidR="00980DC7" w:rsidRPr="00B92006">
        <w:fldChar w:fldCharType="separate"/>
      </w:r>
      <w:r w:rsidR="005C131E" w:rsidRPr="00B92006">
        <w:t xml:space="preserve">Table </w:t>
      </w:r>
      <w:r w:rsidR="005C131E" w:rsidRPr="00B92006">
        <w:rPr>
          <w:noProof/>
        </w:rPr>
        <w:t>1</w:t>
      </w:r>
      <w:r w:rsidR="00980DC7" w:rsidRPr="00B92006">
        <w:fldChar w:fldCharType="end"/>
      </w:r>
      <w:r w:rsidR="00980DC7" w:rsidRPr="00B92006">
        <w:t>).</w:t>
      </w:r>
    </w:p>
    <w:p w14:paraId="6C8AEDD7" w14:textId="0B113DEA" w:rsidR="00980DC7" w:rsidRPr="00B92006" w:rsidRDefault="0085041A" w:rsidP="00655547">
      <w:pPr>
        <w:pStyle w:val="NSMnormal"/>
      </w:pPr>
      <w:r w:rsidRPr="00B92006">
        <w:t xml:space="preserve">When using </w:t>
      </w:r>
      <w:r w:rsidR="00C20854">
        <w:t xml:space="preserve">the </w:t>
      </w:r>
      <w:r w:rsidRPr="00B92006">
        <w:t xml:space="preserve">partnership index, the proportion of sons and daughters surpasses CSHPR. This aligns with </w:t>
      </w:r>
      <w:r w:rsidR="00A47BB0">
        <w:t xml:space="preserve">the </w:t>
      </w:r>
      <w:r w:rsidRPr="00B92006">
        <w:t xml:space="preserve">overestimating </w:t>
      </w:r>
      <w:r w:rsidR="00A47BB0">
        <w:t>of</w:t>
      </w:r>
      <w:r w:rsidRPr="00B92006">
        <w:t xml:space="preserve"> families with (adult) children.</w:t>
      </w:r>
      <w:r w:rsidR="00B87C5E" w:rsidRPr="00B92006">
        <w:t xml:space="preserve"> </w:t>
      </w:r>
      <w:r w:rsidR="00A47BB0">
        <w:t>The s</w:t>
      </w:r>
      <w:r w:rsidR="00B87C5E" w:rsidRPr="00B92006">
        <w:t>hare of lone parents is close to CSHPR.</w:t>
      </w:r>
    </w:p>
    <w:p w14:paraId="676CDC15" w14:textId="65CEDA90" w:rsidR="00555CCA" w:rsidRPr="00B92006" w:rsidRDefault="00555CCA" w:rsidP="00E34976">
      <w:pPr>
        <w:pStyle w:val="NSMpealdis"/>
      </w:pPr>
      <w:bookmarkStart w:id="6" w:name="_Ref8651875"/>
      <w:r w:rsidRPr="00B92006">
        <w:lastRenderedPageBreak/>
        <w:t xml:space="preserve">Table </w:t>
      </w:r>
      <w:r w:rsidRPr="00B92006">
        <w:fldChar w:fldCharType="begin"/>
      </w:r>
      <w:r w:rsidRPr="00B92006">
        <w:instrText xml:space="preserve"> SEQ Table \* ARABIC </w:instrText>
      </w:r>
      <w:r w:rsidRPr="00B92006">
        <w:fldChar w:fldCharType="separate"/>
      </w:r>
      <w:r w:rsidR="00BD5BE2" w:rsidRPr="00B92006">
        <w:rPr>
          <w:noProof/>
        </w:rPr>
        <w:t>5</w:t>
      </w:r>
      <w:r w:rsidRPr="00B92006">
        <w:fldChar w:fldCharType="end"/>
      </w:r>
      <w:bookmarkEnd w:id="6"/>
      <w:r w:rsidRPr="00B92006">
        <w:t>. Family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1134"/>
        <w:gridCol w:w="1837"/>
      </w:tblGrid>
      <w:tr w:rsidR="00555CCA" w:rsidRPr="00B92006" w14:paraId="7942B948" w14:textId="77777777" w:rsidTr="00D74A1B">
        <w:trPr>
          <w:cantSplit/>
          <w:trHeight w:val="416"/>
          <w:tblHeader/>
        </w:trPr>
        <w:tc>
          <w:tcPr>
            <w:tcW w:w="3823" w:type="dxa"/>
            <w:vMerge w:val="restart"/>
            <w:vAlign w:val="center"/>
          </w:tcPr>
          <w:p w14:paraId="6488D053" w14:textId="0D909F08" w:rsidR="00555CCA" w:rsidRPr="00B92006" w:rsidRDefault="00555CCA" w:rsidP="00555CCA">
            <w:pPr>
              <w:spacing w:before="120" w:line="360" w:lineRule="auto"/>
              <w:jc w:val="center"/>
              <w:rPr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status %</w:t>
            </w:r>
          </w:p>
        </w:tc>
        <w:tc>
          <w:tcPr>
            <w:tcW w:w="5239" w:type="dxa"/>
            <w:gridSpan w:val="3"/>
            <w:vAlign w:val="center"/>
          </w:tcPr>
          <w:p w14:paraId="5E979BD9" w14:textId="7F0BA5B8" w:rsidR="00555CCA" w:rsidRPr="00B92006" w:rsidRDefault="00555CCA" w:rsidP="00E34976">
            <w:pPr>
              <w:spacing w:before="360" w:line="360" w:lineRule="auto"/>
              <w:jc w:val="center"/>
              <w:rPr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Basis of household formation</w:t>
            </w:r>
          </w:p>
        </w:tc>
      </w:tr>
      <w:tr w:rsidR="00555CCA" w:rsidRPr="00B92006" w14:paraId="5DE9F3F4" w14:textId="77777777" w:rsidTr="00555CCA">
        <w:tc>
          <w:tcPr>
            <w:tcW w:w="3823" w:type="dxa"/>
            <w:vMerge/>
          </w:tcPr>
          <w:p w14:paraId="2CCC1A0F" w14:textId="36CDBB21" w:rsidR="00555CCA" w:rsidRPr="00B92006" w:rsidRDefault="00555CCA" w:rsidP="00555CCA">
            <w:pPr>
              <w:spacing w:before="36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D107F60" w14:textId="21FBB766" w:rsidR="00555CCA" w:rsidRPr="00B92006" w:rsidRDefault="00555CCA" w:rsidP="00555CC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Dwelling</w:t>
            </w:r>
            <w:r w:rsidR="00625582"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based from CSHPR</w:t>
            </w:r>
          </w:p>
        </w:tc>
        <w:tc>
          <w:tcPr>
            <w:tcW w:w="1134" w:type="dxa"/>
            <w:vAlign w:val="center"/>
          </w:tcPr>
          <w:p w14:paraId="6CF35C1D" w14:textId="61380548" w:rsidR="00555CCA" w:rsidRPr="00B92006" w:rsidRDefault="00555CCA" w:rsidP="00555CC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PR only</w:t>
            </w:r>
          </w:p>
        </w:tc>
        <w:tc>
          <w:tcPr>
            <w:tcW w:w="1837" w:type="dxa"/>
            <w:vAlign w:val="center"/>
          </w:tcPr>
          <w:p w14:paraId="4F21C75C" w14:textId="3D2F7931" w:rsidR="00555CCA" w:rsidRPr="00B92006" w:rsidRDefault="00555CCA" w:rsidP="00555CC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PR + partnership index</w:t>
            </w:r>
          </w:p>
        </w:tc>
      </w:tr>
      <w:tr w:rsidR="00524AC3" w:rsidRPr="00B92006" w14:paraId="7B1303CF" w14:textId="77777777" w:rsidTr="00555CCA">
        <w:tc>
          <w:tcPr>
            <w:tcW w:w="3823" w:type="dxa"/>
          </w:tcPr>
          <w:p w14:paraId="7340C82E" w14:textId="61492511" w:rsidR="00524AC3" w:rsidRPr="00B92006" w:rsidRDefault="00524AC3" w:rsidP="00524AC3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Persons in a married couple</w:t>
            </w:r>
          </w:p>
        </w:tc>
        <w:tc>
          <w:tcPr>
            <w:tcW w:w="2268" w:type="dxa"/>
          </w:tcPr>
          <w:p w14:paraId="174C862C" w14:textId="5CC28231" w:rsidR="00524AC3" w:rsidRPr="00B92006" w:rsidRDefault="00524AC3" w:rsidP="00524AC3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30.1</w:t>
            </w:r>
          </w:p>
        </w:tc>
        <w:tc>
          <w:tcPr>
            <w:tcW w:w="1134" w:type="dxa"/>
          </w:tcPr>
          <w:p w14:paraId="6DC40A64" w14:textId="5CFA89AE" w:rsidR="00524AC3" w:rsidRPr="00B92006" w:rsidRDefault="00524AC3" w:rsidP="00524AC3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25.4</w:t>
            </w:r>
          </w:p>
        </w:tc>
        <w:tc>
          <w:tcPr>
            <w:tcW w:w="1837" w:type="dxa"/>
          </w:tcPr>
          <w:p w14:paraId="14CF9850" w14:textId="711B4D49" w:rsidR="00524AC3" w:rsidRPr="00B92006" w:rsidRDefault="00524AC3" w:rsidP="00524AC3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32.7</w:t>
            </w:r>
          </w:p>
        </w:tc>
      </w:tr>
      <w:tr w:rsidR="00524AC3" w:rsidRPr="00B92006" w14:paraId="406E571D" w14:textId="77777777" w:rsidTr="00555CCA">
        <w:tc>
          <w:tcPr>
            <w:tcW w:w="3823" w:type="dxa"/>
          </w:tcPr>
          <w:p w14:paraId="238618BB" w14:textId="76E72BD6" w:rsidR="00524AC3" w:rsidRPr="00B92006" w:rsidRDefault="00524AC3" w:rsidP="00524AC3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Partners in a consensual union</w:t>
            </w:r>
          </w:p>
        </w:tc>
        <w:tc>
          <w:tcPr>
            <w:tcW w:w="2268" w:type="dxa"/>
          </w:tcPr>
          <w:p w14:paraId="6A6F9393" w14:textId="66D211D6" w:rsidR="00524AC3" w:rsidRPr="00B92006" w:rsidRDefault="00524AC3" w:rsidP="00524AC3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14.7</w:t>
            </w:r>
          </w:p>
        </w:tc>
        <w:tc>
          <w:tcPr>
            <w:tcW w:w="1134" w:type="dxa"/>
          </w:tcPr>
          <w:p w14:paraId="557D5FD8" w14:textId="27A1A8FB" w:rsidR="00524AC3" w:rsidRPr="00B92006" w:rsidRDefault="00524AC3" w:rsidP="00524AC3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9.7</w:t>
            </w:r>
          </w:p>
        </w:tc>
        <w:tc>
          <w:tcPr>
            <w:tcW w:w="1837" w:type="dxa"/>
          </w:tcPr>
          <w:p w14:paraId="45D2BB75" w14:textId="473E8F28" w:rsidR="00524AC3" w:rsidRPr="00B92006" w:rsidRDefault="00524AC3" w:rsidP="00524AC3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12.5</w:t>
            </w:r>
          </w:p>
        </w:tc>
      </w:tr>
      <w:tr w:rsidR="00524AC3" w:rsidRPr="00B92006" w14:paraId="6FCEE336" w14:textId="77777777" w:rsidTr="00555CCA">
        <w:tc>
          <w:tcPr>
            <w:tcW w:w="3823" w:type="dxa"/>
          </w:tcPr>
          <w:p w14:paraId="6410C4AE" w14:textId="0F5201B4" w:rsidR="00524AC3" w:rsidRPr="00B92006" w:rsidRDefault="00524AC3" w:rsidP="00524AC3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Lone parents</w:t>
            </w:r>
          </w:p>
        </w:tc>
        <w:tc>
          <w:tcPr>
            <w:tcW w:w="2268" w:type="dxa"/>
          </w:tcPr>
          <w:p w14:paraId="72563C8C" w14:textId="0CE016C2" w:rsidR="00524AC3" w:rsidRPr="00B92006" w:rsidRDefault="00524AC3" w:rsidP="00524AC3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6.2</w:t>
            </w:r>
          </w:p>
        </w:tc>
        <w:tc>
          <w:tcPr>
            <w:tcW w:w="1134" w:type="dxa"/>
          </w:tcPr>
          <w:p w14:paraId="715DB1EE" w14:textId="226F3D74" w:rsidR="00524AC3" w:rsidRPr="00B92006" w:rsidRDefault="00524AC3" w:rsidP="00524AC3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10.7</w:t>
            </w:r>
          </w:p>
        </w:tc>
        <w:tc>
          <w:tcPr>
            <w:tcW w:w="1837" w:type="dxa"/>
          </w:tcPr>
          <w:p w14:paraId="327FE708" w14:textId="1B02A8E1" w:rsidR="00524AC3" w:rsidRPr="00B92006" w:rsidRDefault="00524AC3" w:rsidP="00524AC3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6.6</w:t>
            </w:r>
          </w:p>
        </w:tc>
      </w:tr>
      <w:tr w:rsidR="00524AC3" w:rsidRPr="00B92006" w14:paraId="318F423A" w14:textId="77777777" w:rsidTr="00555CCA">
        <w:tc>
          <w:tcPr>
            <w:tcW w:w="3823" w:type="dxa"/>
          </w:tcPr>
          <w:p w14:paraId="6EEF8F7E" w14:textId="2958C0A5" w:rsidR="00524AC3" w:rsidRPr="00B92006" w:rsidRDefault="00524AC3" w:rsidP="00524AC3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Sons/daughters, not of lone parent</w:t>
            </w:r>
          </w:p>
        </w:tc>
        <w:tc>
          <w:tcPr>
            <w:tcW w:w="2268" w:type="dxa"/>
          </w:tcPr>
          <w:p w14:paraId="7760BECB" w14:textId="653930E3" w:rsidR="00524AC3" w:rsidRPr="00B92006" w:rsidRDefault="00524AC3" w:rsidP="00524AC3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19.4</w:t>
            </w:r>
          </w:p>
        </w:tc>
        <w:tc>
          <w:tcPr>
            <w:tcW w:w="1134" w:type="dxa"/>
          </w:tcPr>
          <w:p w14:paraId="558472D9" w14:textId="75FBEEE1" w:rsidR="00524AC3" w:rsidRPr="00B92006" w:rsidRDefault="00524AC3" w:rsidP="00524AC3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16.3</w:t>
            </w:r>
          </w:p>
        </w:tc>
        <w:tc>
          <w:tcPr>
            <w:tcW w:w="1837" w:type="dxa"/>
          </w:tcPr>
          <w:p w14:paraId="5536C779" w14:textId="1CDA53AE" w:rsidR="00524AC3" w:rsidRPr="00B92006" w:rsidRDefault="00524AC3" w:rsidP="00524AC3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20.9</w:t>
            </w:r>
          </w:p>
        </w:tc>
      </w:tr>
      <w:tr w:rsidR="00524AC3" w:rsidRPr="00B92006" w14:paraId="21485E93" w14:textId="77777777" w:rsidTr="00555CCA">
        <w:tc>
          <w:tcPr>
            <w:tcW w:w="3823" w:type="dxa"/>
          </w:tcPr>
          <w:p w14:paraId="5FEC79AB" w14:textId="4091BE02" w:rsidR="00524AC3" w:rsidRPr="00B92006" w:rsidRDefault="00524AC3" w:rsidP="00524AC3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Sons/daughters of lone parent</w:t>
            </w:r>
          </w:p>
        </w:tc>
        <w:tc>
          <w:tcPr>
            <w:tcW w:w="2268" w:type="dxa"/>
          </w:tcPr>
          <w:p w14:paraId="0E0483B8" w14:textId="7BACA9E9" w:rsidR="00524AC3" w:rsidRPr="00B92006" w:rsidRDefault="00524AC3" w:rsidP="00524AC3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8.0</w:t>
            </w:r>
          </w:p>
        </w:tc>
        <w:tc>
          <w:tcPr>
            <w:tcW w:w="1134" w:type="dxa"/>
          </w:tcPr>
          <w:p w14:paraId="5E3DE137" w14:textId="0DF63098" w:rsidR="00524AC3" w:rsidRPr="00B92006" w:rsidRDefault="00524AC3" w:rsidP="00524AC3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14.4</w:t>
            </w:r>
          </w:p>
        </w:tc>
        <w:tc>
          <w:tcPr>
            <w:tcW w:w="1837" w:type="dxa"/>
          </w:tcPr>
          <w:p w14:paraId="06F5DDBD" w14:textId="45FEBC83" w:rsidR="00524AC3" w:rsidRPr="00B92006" w:rsidRDefault="00524AC3" w:rsidP="00524AC3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8.2</w:t>
            </w:r>
          </w:p>
        </w:tc>
      </w:tr>
      <w:tr w:rsidR="00524AC3" w:rsidRPr="00B92006" w14:paraId="24C52D2D" w14:textId="77777777" w:rsidTr="00555CCA">
        <w:tc>
          <w:tcPr>
            <w:tcW w:w="3823" w:type="dxa"/>
          </w:tcPr>
          <w:p w14:paraId="7060E8BE" w14:textId="2F80E1F2" w:rsidR="00524AC3" w:rsidRPr="00B92006" w:rsidRDefault="004F6698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Not applicable</w:t>
            </w:r>
            <w:r w:rsidR="0075353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7535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– </w:t>
            </w:r>
            <w:r w:rsidR="00524AC3" w:rsidRPr="00B92006">
              <w:rPr>
                <w:rFonts w:ascii="Arial" w:hAnsi="Arial" w:cs="Arial"/>
                <w:b/>
                <w:sz w:val="20"/>
                <w:szCs w:val="20"/>
                <w:lang w:val="en-GB"/>
              </w:rPr>
              <w:t>not in a family nucleus</w:t>
            </w:r>
          </w:p>
        </w:tc>
        <w:tc>
          <w:tcPr>
            <w:tcW w:w="2268" w:type="dxa"/>
          </w:tcPr>
          <w:p w14:paraId="50CDBBD5" w14:textId="134FA93F" w:rsidR="00524AC3" w:rsidRPr="00B92006" w:rsidRDefault="00524AC3" w:rsidP="00524AC3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21.5</w:t>
            </w:r>
          </w:p>
        </w:tc>
        <w:tc>
          <w:tcPr>
            <w:tcW w:w="1134" w:type="dxa"/>
          </w:tcPr>
          <w:p w14:paraId="7FABA920" w14:textId="4CFC58E1" w:rsidR="00524AC3" w:rsidRPr="00B92006" w:rsidRDefault="00524AC3" w:rsidP="00524AC3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23.5</w:t>
            </w:r>
          </w:p>
        </w:tc>
        <w:tc>
          <w:tcPr>
            <w:tcW w:w="1837" w:type="dxa"/>
          </w:tcPr>
          <w:p w14:paraId="77842D27" w14:textId="4A035794" w:rsidR="00524AC3" w:rsidRPr="00B92006" w:rsidRDefault="00524AC3" w:rsidP="00524AC3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sz w:val="20"/>
                <w:szCs w:val="20"/>
                <w:lang w:val="en-GB"/>
              </w:rPr>
              <w:t>19.1</w:t>
            </w:r>
          </w:p>
        </w:tc>
      </w:tr>
      <w:tr w:rsidR="00555CCA" w:rsidRPr="00B92006" w14:paraId="1600A291" w14:textId="77777777" w:rsidTr="00555CCA">
        <w:tc>
          <w:tcPr>
            <w:tcW w:w="3823" w:type="dxa"/>
          </w:tcPr>
          <w:p w14:paraId="3B62E280" w14:textId="05777099" w:rsidR="00555CCA" w:rsidRPr="00B92006" w:rsidRDefault="00555CCA" w:rsidP="00555CCA">
            <w:pPr>
              <w:spacing w:before="12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268" w:type="dxa"/>
          </w:tcPr>
          <w:p w14:paraId="5B982975" w14:textId="661553B6" w:rsidR="00555CCA" w:rsidRPr="00B92006" w:rsidRDefault="007151CF" w:rsidP="00555CCA">
            <w:pPr>
              <w:spacing w:before="120"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100</w:t>
            </w:r>
          </w:p>
        </w:tc>
        <w:tc>
          <w:tcPr>
            <w:tcW w:w="1134" w:type="dxa"/>
          </w:tcPr>
          <w:p w14:paraId="777B48FD" w14:textId="445A7D84" w:rsidR="00555CCA" w:rsidRPr="00B92006" w:rsidRDefault="007151CF" w:rsidP="00555CCA">
            <w:pPr>
              <w:spacing w:before="120"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100</w:t>
            </w:r>
          </w:p>
        </w:tc>
        <w:tc>
          <w:tcPr>
            <w:tcW w:w="1837" w:type="dxa"/>
          </w:tcPr>
          <w:p w14:paraId="4FAC09CB" w14:textId="076C8003" w:rsidR="00555CCA" w:rsidRPr="00B92006" w:rsidRDefault="00555CCA" w:rsidP="007151CF">
            <w:pPr>
              <w:spacing w:before="120"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B9200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100</w:t>
            </w:r>
          </w:p>
        </w:tc>
      </w:tr>
    </w:tbl>
    <w:p w14:paraId="58973065" w14:textId="168BDC13" w:rsidR="00050F2C" w:rsidRPr="00B92006" w:rsidRDefault="00F15755" w:rsidP="00050F2C">
      <w:pPr>
        <w:pStyle w:val="NSMnormal"/>
      </w:pPr>
      <w:r w:rsidRPr="00B92006">
        <w:t xml:space="preserve">The data suggests that </w:t>
      </w:r>
      <w:r w:rsidR="0075353D">
        <w:t xml:space="preserve">the </w:t>
      </w:r>
      <w:r w:rsidRPr="00B92006">
        <w:t>main source of error is that you</w:t>
      </w:r>
      <w:r w:rsidR="00050F2C" w:rsidRPr="00B92006">
        <w:t>ng adults</w:t>
      </w:r>
      <w:r w:rsidRPr="00B92006">
        <w:t xml:space="preserve"> </w:t>
      </w:r>
      <w:r w:rsidR="00112C63" w:rsidRPr="00B92006">
        <w:t>are</w:t>
      </w:r>
      <w:r w:rsidRPr="00B92006">
        <w:t xml:space="preserve"> registered </w:t>
      </w:r>
      <w:r w:rsidR="0075353D">
        <w:t>in their</w:t>
      </w:r>
      <w:r w:rsidRPr="00B92006">
        <w:t xml:space="preserve"> parental home </w:t>
      </w:r>
      <w:r w:rsidR="00DA44D7" w:rsidRPr="00B92006">
        <w:t xml:space="preserve">after moving out. </w:t>
      </w:r>
      <w:r w:rsidR="00BB64CF" w:rsidRPr="00B92006">
        <w:t xml:space="preserve">This explains </w:t>
      </w:r>
      <w:r w:rsidR="0075353D">
        <w:t xml:space="preserve">the </w:t>
      </w:r>
      <w:r w:rsidR="00BB64CF" w:rsidRPr="00B92006">
        <w:t xml:space="preserve">large number of families with adult children </w:t>
      </w:r>
      <w:r w:rsidR="00110269" w:rsidRPr="00B92006">
        <w:t>combine</w:t>
      </w:r>
      <w:r w:rsidR="00BB64CF" w:rsidRPr="00B92006">
        <w:t xml:space="preserve">d with </w:t>
      </w:r>
      <w:r w:rsidR="0075353D">
        <w:t xml:space="preserve">the </w:t>
      </w:r>
      <w:r w:rsidR="00BB64CF" w:rsidRPr="00B92006">
        <w:t>low number of couples without children in register</w:t>
      </w:r>
      <w:r w:rsidR="00625582" w:rsidRPr="00B92006">
        <w:t>-</w:t>
      </w:r>
      <w:r w:rsidR="00BB64CF" w:rsidRPr="00B92006">
        <w:t xml:space="preserve">based households. </w:t>
      </w:r>
      <w:r w:rsidR="00832FD3">
        <w:t>In addition</w:t>
      </w:r>
      <w:r w:rsidR="000B5079" w:rsidRPr="00B92006">
        <w:t xml:space="preserve">, family sizes increase when adult children are considered as members of their parents’ families. </w:t>
      </w:r>
    </w:p>
    <w:p w14:paraId="1D4AC5E9" w14:textId="26A38D83" w:rsidR="00050F2C" w:rsidRPr="00B92006" w:rsidRDefault="00050F2C" w:rsidP="00050F2C">
      <w:pPr>
        <w:pStyle w:val="NSMnormal"/>
      </w:pPr>
      <w:r w:rsidRPr="00B92006">
        <w:t xml:space="preserve">This rationale is </w:t>
      </w:r>
      <w:r w:rsidR="00D9300D" w:rsidRPr="00B92006">
        <w:t xml:space="preserve">consistent </w:t>
      </w:r>
      <w:r w:rsidRPr="00B92006">
        <w:t xml:space="preserve">with </w:t>
      </w:r>
      <w:r w:rsidR="0075353D">
        <w:t xml:space="preserve">the </w:t>
      </w:r>
      <w:r w:rsidRPr="00B92006">
        <w:t xml:space="preserve">comparison </w:t>
      </w:r>
      <w:r w:rsidR="00D9300D" w:rsidRPr="00B92006">
        <w:t xml:space="preserve">results </w:t>
      </w:r>
      <w:r w:rsidRPr="00B92006">
        <w:t xml:space="preserve">of CSHPR </w:t>
      </w:r>
      <w:r w:rsidR="00D9300D" w:rsidRPr="00B92006">
        <w:t xml:space="preserve">respondents’ actual and registered place of residence. </w:t>
      </w:r>
      <w:r w:rsidRPr="00B92006">
        <w:t xml:space="preserve">On average, </w:t>
      </w:r>
      <w:r w:rsidR="00BA7314" w:rsidRPr="00B92006">
        <w:t>79</w:t>
      </w:r>
      <w:r w:rsidRPr="00B92006">
        <w:t>% had correct address on the level of building in PR</w:t>
      </w:r>
      <w:r w:rsidR="00315350" w:rsidRPr="00B92006">
        <w:rPr>
          <w:rStyle w:val="FootnoteReference"/>
        </w:rPr>
        <w:footnoteReference w:id="1"/>
      </w:r>
      <w:r w:rsidRPr="00B92006">
        <w:t xml:space="preserve">. The same figure was only 59% </w:t>
      </w:r>
      <w:r w:rsidR="0075353D">
        <w:t>for</w:t>
      </w:r>
      <w:r w:rsidRPr="00B92006">
        <w:t xml:space="preserve"> 20</w:t>
      </w:r>
      <w:r w:rsidR="001E3927" w:rsidRPr="00B92006">
        <w:t>–</w:t>
      </w:r>
      <w:r w:rsidRPr="00B92006">
        <w:t>24</w:t>
      </w:r>
      <w:r w:rsidR="00625582" w:rsidRPr="00B92006">
        <w:t>-</w:t>
      </w:r>
      <w:r w:rsidRPr="00B92006">
        <w:t>year</w:t>
      </w:r>
      <w:r w:rsidR="00625582" w:rsidRPr="00B92006">
        <w:t>-</w:t>
      </w:r>
      <w:r w:rsidRPr="00B92006">
        <w:t xml:space="preserve">olds and 67% </w:t>
      </w:r>
      <w:r w:rsidR="0075353D">
        <w:t>for</w:t>
      </w:r>
      <w:r w:rsidRPr="00B92006">
        <w:t xml:space="preserve"> 25</w:t>
      </w:r>
      <w:r w:rsidR="007E4962">
        <w:rPr>
          <w:shd w:val="clear" w:color="auto" w:fill="FFFFFF"/>
        </w:rPr>
        <w:t>–</w:t>
      </w:r>
      <w:r w:rsidRPr="00B92006">
        <w:t>29</w:t>
      </w:r>
      <w:r w:rsidR="00625582" w:rsidRPr="00B92006">
        <w:t>-</w:t>
      </w:r>
      <w:r w:rsidRPr="00B92006">
        <w:t>year</w:t>
      </w:r>
      <w:r w:rsidR="00625582" w:rsidRPr="00B92006">
        <w:t>-</w:t>
      </w:r>
      <w:r w:rsidRPr="00B92006">
        <w:t>olds.</w:t>
      </w:r>
      <w:r w:rsidR="00D9300D" w:rsidRPr="00B92006">
        <w:t xml:space="preserve"> False registering also prohibits detecting partnership in youth.</w:t>
      </w:r>
    </w:p>
    <w:p w14:paraId="10AF151D" w14:textId="77777777" w:rsidR="00456477" w:rsidRPr="00B92006" w:rsidRDefault="00A20E35" w:rsidP="00456477">
      <w:pPr>
        <w:pStyle w:val="NSMpealkiri2"/>
      </w:pPr>
      <w:r w:rsidRPr="00B92006">
        <w:t>4. Further work</w:t>
      </w:r>
      <w:r w:rsidR="00456477" w:rsidRPr="00B92006">
        <w:t xml:space="preserve"> </w:t>
      </w:r>
    </w:p>
    <w:p w14:paraId="05494201" w14:textId="6B789003" w:rsidR="00545CBD" w:rsidRPr="00B92006" w:rsidRDefault="009A07D6" w:rsidP="00545CBD">
      <w:pPr>
        <w:pStyle w:val="NSMnormal"/>
      </w:pPr>
      <w:r w:rsidRPr="00B92006">
        <w:t>The partnership index</w:t>
      </w:r>
      <w:r w:rsidR="00C127BC" w:rsidRPr="00B92006">
        <w:t xml:space="preserve"> validation</w:t>
      </w:r>
      <w:r w:rsidRPr="00B92006">
        <w:t xml:space="preserve"> results </w:t>
      </w:r>
      <w:r w:rsidR="00422A49">
        <w:t>in</w:t>
      </w:r>
      <w:r w:rsidRPr="00B92006">
        <w:t xml:space="preserve"> CSHPR </w:t>
      </w:r>
      <w:r w:rsidR="00545CBD" w:rsidRPr="00B92006">
        <w:t>are encouraging. However, there is plenty of room for improvement.</w:t>
      </w:r>
    </w:p>
    <w:p w14:paraId="4D4E6443" w14:textId="0B35A9FF" w:rsidR="004A7480" w:rsidRPr="00B92006" w:rsidRDefault="0089239E" w:rsidP="00545CBD">
      <w:pPr>
        <w:pStyle w:val="NSMnormal"/>
      </w:pPr>
      <w:r w:rsidRPr="00B92006">
        <w:t>We are continuously looking for new data sources to improve</w:t>
      </w:r>
      <w:r w:rsidR="00747A1F">
        <w:t xml:space="preserve"> the</w:t>
      </w:r>
      <w:r w:rsidRPr="00B92006">
        <w:t xml:space="preserve"> </w:t>
      </w:r>
      <w:r w:rsidRPr="00B92006">
        <w:rPr>
          <w:i/>
        </w:rPr>
        <w:t>classification accuracy</w:t>
      </w:r>
      <w:r w:rsidRPr="00B92006">
        <w:t>. For example, in 2019</w:t>
      </w:r>
      <w:r w:rsidR="00B7005D" w:rsidRPr="00B92006">
        <w:t>,</w:t>
      </w:r>
      <w:r w:rsidRPr="00B92006">
        <w:t xml:space="preserve"> we add </w:t>
      </w:r>
      <w:r w:rsidR="00B7005D" w:rsidRPr="00B92006">
        <w:t xml:space="preserve">data on guardianship and custody. The most critical need for new data stems from </w:t>
      </w:r>
      <w:r w:rsidR="004A7480" w:rsidRPr="00B92006">
        <w:t xml:space="preserve">unreliable </w:t>
      </w:r>
      <w:r w:rsidR="00E566B6" w:rsidRPr="00B92006">
        <w:t xml:space="preserve">registration </w:t>
      </w:r>
      <w:r w:rsidR="004A7480" w:rsidRPr="00B92006">
        <w:t xml:space="preserve">of youth. </w:t>
      </w:r>
    </w:p>
    <w:p w14:paraId="27384881" w14:textId="58949456" w:rsidR="0089239E" w:rsidRPr="00B92006" w:rsidRDefault="00A4615E" w:rsidP="00545CBD">
      <w:pPr>
        <w:pStyle w:val="NSMnormal"/>
      </w:pPr>
      <w:r w:rsidRPr="00B92006">
        <w:lastRenderedPageBreak/>
        <w:t xml:space="preserve">A </w:t>
      </w:r>
      <w:r w:rsidR="004A7480" w:rsidRPr="00B92006">
        <w:t>Population Act</w:t>
      </w:r>
      <w:r w:rsidRPr="00B92006">
        <w:t xml:space="preserve"> amendment states that starting from</w:t>
      </w:r>
      <w:r w:rsidR="004A7480" w:rsidRPr="00B92006">
        <w:t xml:space="preserve"> </w:t>
      </w:r>
      <w:r w:rsidRPr="00B92006">
        <w:t xml:space="preserve">2019, </w:t>
      </w:r>
      <w:r w:rsidR="004A7480" w:rsidRPr="00B92006">
        <w:t xml:space="preserve">student hostels and dormitories must </w:t>
      </w:r>
      <w:r w:rsidRPr="00B92006">
        <w:t>register their residents’ ‘place of stay’ in PR</w:t>
      </w:r>
      <w:r w:rsidR="004359D0" w:rsidRPr="00B92006">
        <w:t xml:space="preserve"> </w:t>
      </w:r>
      <w:r w:rsidR="00947368" w:rsidRPr="00190D6B">
        <w:t>(</w:t>
      </w:r>
      <w:r w:rsidR="00947368" w:rsidRPr="00570FA4">
        <w:rPr>
          <w:iCs/>
        </w:rPr>
        <w:t>Population Register Act</w:t>
      </w:r>
      <w:r w:rsidR="00947368" w:rsidRPr="00570FA4">
        <w:t>, 2000</w:t>
      </w:r>
      <w:r w:rsidR="00947368" w:rsidRPr="00190D6B">
        <w:t>)</w:t>
      </w:r>
      <w:r w:rsidRPr="00B92006">
        <w:t xml:space="preserve">. </w:t>
      </w:r>
      <w:r w:rsidR="00866852" w:rsidRPr="00B92006">
        <w:t xml:space="preserve">Hopefully, </w:t>
      </w:r>
      <w:r w:rsidR="00A11703" w:rsidRPr="00B92006">
        <w:t xml:space="preserve">this will improve </w:t>
      </w:r>
      <w:r w:rsidR="00A11703" w:rsidRPr="00B92006">
        <w:rPr>
          <w:i/>
        </w:rPr>
        <w:t>data</w:t>
      </w:r>
      <w:r w:rsidR="00A11703" w:rsidRPr="00B92006">
        <w:t xml:space="preserve"> </w:t>
      </w:r>
      <w:r w:rsidR="00A11703" w:rsidRPr="00B92006">
        <w:rPr>
          <w:i/>
        </w:rPr>
        <w:t>quality of young adults’ residence</w:t>
      </w:r>
      <w:r w:rsidR="00A11703" w:rsidRPr="00B92006">
        <w:t xml:space="preserve">. </w:t>
      </w:r>
      <w:r w:rsidR="002C333D" w:rsidRPr="00B92006">
        <w:t xml:space="preserve">Even under the best scenario, the impact of this </w:t>
      </w:r>
      <w:r w:rsidR="00203B23" w:rsidRPr="00B92006">
        <w:t>regulation</w:t>
      </w:r>
      <w:r w:rsidR="002C333D" w:rsidRPr="00B92006">
        <w:t xml:space="preserve"> is limited</w:t>
      </w:r>
      <w:r w:rsidR="00203B23" w:rsidRPr="00B92006">
        <w:t>,</w:t>
      </w:r>
      <w:r w:rsidR="002C333D" w:rsidRPr="00B92006">
        <w:t xml:space="preserve"> </w:t>
      </w:r>
      <w:r w:rsidR="00203B23" w:rsidRPr="00B92006">
        <w:t>because</w:t>
      </w:r>
      <w:r w:rsidR="002C333D" w:rsidRPr="00B92006">
        <w:t xml:space="preserve"> many young adults live in </w:t>
      </w:r>
      <w:r w:rsidR="00A11703" w:rsidRPr="00B92006">
        <w:t xml:space="preserve">rented dwellings. In Estonia, </w:t>
      </w:r>
      <w:r w:rsidR="00F5756A" w:rsidRPr="00B92006">
        <w:t>very often</w:t>
      </w:r>
      <w:r w:rsidR="00A11703" w:rsidRPr="00B92006">
        <w:t xml:space="preserve"> owners </w:t>
      </w:r>
      <w:r w:rsidR="00F5756A" w:rsidRPr="00B92006">
        <w:t>avoid paying income tax</w:t>
      </w:r>
      <w:r w:rsidR="00A11703" w:rsidRPr="00B92006">
        <w:t xml:space="preserve"> </w:t>
      </w:r>
      <w:r w:rsidR="00F5756A" w:rsidRPr="00B92006">
        <w:t xml:space="preserve">on rent, and they are not interested in letting tenants register </w:t>
      </w:r>
      <w:r w:rsidR="00743B11" w:rsidRPr="00B92006">
        <w:t>their</w:t>
      </w:r>
      <w:r w:rsidR="00F5756A" w:rsidRPr="00B92006">
        <w:t xml:space="preserve"> property</w:t>
      </w:r>
      <w:r w:rsidR="002F3AE6">
        <w:t xml:space="preserve"> as their place of residence</w:t>
      </w:r>
      <w:r w:rsidR="00F5756A" w:rsidRPr="00B92006">
        <w:t>, as it would hint the state about</w:t>
      </w:r>
      <w:r w:rsidR="00743B11" w:rsidRPr="00B92006">
        <w:t xml:space="preserve"> renting</w:t>
      </w:r>
      <w:r w:rsidR="00F5756A" w:rsidRPr="00B92006">
        <w:t>.</w:t>
      </w:r>
      <w:r w:rsidR="009A07D6" w:rsidRPr="00B92006">
        <w:t xml:space="preserve"> </w:t>
      </w:r>
    </w:p>
    <w:p w14:paraId="021381D7" w14:textId="64B371E9" w:rsidR="009A07D6" w:rsidRPr="00B92006" w:rsidRDefault="009A07D6" w:rsidP="009A07D6">
      <w:pPr>
        <w:pStyle w:val="NSMnormal"/>
      </w:pPr>
      <w:r w:rsidRPr="00B92006">
        <w:t xml:space="preserve">It is important to ensure that </w:t>
      </w:r>
      <w:r w:rsidR="00826E55">
        <w:t xml:space="preserve">the </w:t>
      </w:r>
      <w:r w:rsidRPr="00B92006">
        <w:t xml:space="preserve">partnership index gives </w:t>
      </w:r>
      <w:r w:rsidRPr="00B92006">
        <w:rPr>
          <w:i/>
        </w:rPr>
        <w:t>consistent results over time</w:t>
      </w:r>
      <w:r w:rsidRPr="00B92006">
        <w:t xml:space="preserve">. The patterns of forming and breaking relationship should be realistic. Currently, </w:t>
      </w:r>
      <w:r w:rsidR="005D58D9" w:rsidRPr="00B92006">
        <w:t xml:space="preserve">the algorithm of </w:t>
      </w:r>
      <w:r w:rsidRPr="00B92006">
        <w:t xml:space="preserve">partnership index does not take </w:t>
      </w:r>
      <w:r w:rsidR="00826E55">
        <w:t xml:space="preserve">into account the </w:t>
      </w:r>
      <w:r w:rsidRPr="00B92006">
        <w:t>preceding years’ results</w:t>
      </w:r>
      <w:r w:rsidR="00E331EF" w:rsidRPr="00B92006">
        <w:t>, but it may be necessary to add stability to estimates of partnership.</w:t>
      </w:r>
    </w:p>
    <w:p w14:paraId="730A84EE" w14:textId="54B3E41C" w:rsidR="00545CBD" w:rsidRPr="00B92006" w:rsidRDefault="00545CBD" w:rsidP="00545CBD">
      <w:pPr>
        <w:pStyle w:val="NSMnormal"/>
      </w:pPr>
      <w:r w:rsidRPr="00B92006">
        <w:t xml:space="preserve">Lastly, dividing residents into families is not enough. Families </w:t>
      </w:r>
      <w:r w:rsidR="003E2B7E">
        <w:t>should</w:t>
      </w:r>
      <w:r w:rsidRPr="00B92006">
        <w:t xml:space="preserve"> also be assigned to dwellings. </w:t>
      </w:r>
      <w:r w:rsidR="00BA7314" w:rsidRPr="00B92006">
        <w:t xml:space="preserve">If </w:t>
      </w:r>
      <w:r w:rsidR="009F32B8" w:rsidRPr="00B92006">
        <w:t>a</w:t>
      </w:r>
      <w:r w:rsidR="00BA7314" w:rsidRPr="00B92006">
        <w:t xml:space="preserve"> family contains people from different registered addresses, </w:t>
      </w:r>
      <w:r w:rsidR="00C50765" w:rsidRPr="00B92006">
        <w:t>each of these dwellings could be this family’s home</w:t>
      </w:r>
      <w:r w:rsidR="00BA7314" w:rsidRPr="00B92006">
        <w:t xml:space="preserve">. Statistics Estonia is making </w:t>
      </w:r>
      <w:r w:rsidR="003E2B7E">
        <w:t xml:space="preserve">the </w:t>
      </w:r>
      <w:r w:rsidR="00BA7314" w:rsidRPr="00B92006">
        <w:t>first steps to develop another index</w:t>
      </w:r>
      <w:r w:rsidR="00625582" w:rsidRPr="00B92006">
        <w:t>-</w:t>
      </w:r>
      <w:r w:rsidR="00BA7314" w:rsidRPr="00B92006">
        <w:t xml:space="preserve">type methodology that </w:t>
      </w:r>
      <w:r w:rsidR="00E41C68" w:rsidRPr="00B92006">
        <w:t>matches</w:t>
      </w:r>
      <w:r w:rsidR="00BA7314" w:rsidRPr="00B92006">
        <w:t xml:space="preserve"> </w:t>
      </w:r>
      <w:r w:rsidR="00BA7314" w:rsidRPr="00B92006">
        <w:rPr>
          <w:i/>
        </w:rPr>
        <w:t>families to dwellings</w:t>
      </w:r>
      <w:r w:rsidR="00BA7314" w:rsidRPr="00B92006">
        <w:t xml:space="preserve">. </w:t>
      </w:r>
    </w:p>
    <w:p w14:paraId="74683274" w14:textId="77777777" w:rsidR="00CE0D93" w:rsidRPr="00B92006" w:rsidRDefault="00A20E35" w:rsidP="005D44F8">
      <w:pPr>
        <w:pStyle w:val="NSMpealkiri2"/>
      </w:pPr>
      <w:r w:rsidRPr="00B92006">
        <w:t>5</w:t>
      </w:r>
      <w:r w:rsidR="00CE0D93" w:rsidRPr="00B92006">
        <w:t>. Conclusions</w:t>
      </w:r>
    </w:p>
    <w:p w14:paraId="5C647B2F" w14:textId="60D8AC1A" w:rsidR="005D44F8" w:rsidRPr="00B92006" w:rsidRDefault="00496CCB" w:rsidP="005D44F8">
      <w:pPr>
        <w:pStyle w:val="NSMnormal"/>
      </w:pPr>
      <w:r w:rsidRPr="00B92006">
        <w:t xml:space="preserve">The poor </w:t>
      </w:r>
      <w:r w:rsidR="003D0253">
        <w:t xml:space="preserve">place of residence </w:t>
      </w:r>
      <w:r w:rsidRPr="00B92006">
        <w:t xml:space="preserve">data quality in </w:t>
      </w:r>
      <w:r w:rsidR="003D0253">
        <w:t xml:space="preserve">the </w:t>
      </w:r>
      <w:r w:rsidRPr="00B92006">
        <w:t xml:space="preserve">Estonian Population Register distorts </w:t>
      </w:r>
      <w:r w:rsidR="005A149D" w:rsidRPr="00B92006">
        <w:t xml:space="preserve">the </w:t>
      </w:r>
      <w:r w:rsidRPr="00B92006">
        <w:t>distribution</w:t>
      </w:r>
      <w:r w:rsidR="00E331EF" w:rsidRPr="00B92006">
        <w:t xml:space="preserve"> </w:t>
      </w:r>
      <w:r w:rsidRPr="00B92006">
        <w:t xml:space="preserve">of family and household characteristics. The partnership index </w:t>
      </w:r>
      <w:r w:rsidR="00A06080" w:rsidRPr="00B92006">
        <w:t xml:space="preserve">is a new methodology that </w:t>
      </w:r>
      <w:r w:rsidRPr="00B92006">
        <w:t xml:space="preserve">attempts to </w:t>
      </w:r>
      <w:r w:rsidR="00947368" w:rsidRPr="00B92006">
        <w:t xml:space="preserve">detect </w:t>
      </w:r>
      <w:r w:rsidRPr="00B92006">
        <w:t xml:space="preserve">cohabiting and married couples who </w:t>
      </w:r>
      <w:r w:rsidR="00EA1649">
        <w:t>are</w:t>
      </w:r>
      <w:r w:rsidR="003D0253">
        <w:t xml:space="preserve"> </w:t>
      </w:r>
      <w:r w:rsidRPr="00B92006">
        <w:t>registered</w:t>
      </w:r>
      <w:r w:rsidR="002A3463" w:rsidRPr="00B92006">
        <w:t xml:space="preserve"> </w:t>
      </w:r>
      <w:r w:rsidR="003D0253">
        <w:t>at</w:t>
      </w:r>
      <w:r w:rsidR="002A3463" w:rsidRPr="00B92006">
        <w:t xml:space="preserve"> different </w:t>
      </w:r>
      <w:r w:rsidR="003D0253">
        <w:t>addresses</w:t>
      </w:r>
      <w:r w:rsidR="002A3463" w:rsidRPr="00B92006">
        <w:t>. It combines administrative data that connects potential partners and has an impact on the probability of their partnership</w:t>
      </w:r>
      <w:r w:rsidR="00DF7EB5" w:rsidRPr="00B92006">
        <w:t xml:space="preserve"> (e.g. mutual children, co</w:t>
      </w:r>
      <w:r w:rsidR="00625582" w:rsidRPr="00B92006">
        <w:t>-</w:t>
      </w:r>
      <w:r w:rsidR="00DF7EB5" w:rsidRPr="00B92006">
        <w:t>owning a property)</w:t>
      </w:r>
      <w:r w:rsidR="002A3463" w:rsidRPr="00B92006">
        <w:t>.</w:t>
      </w:r>
      <w:r w:rsidR="00DF7EB5" w:rsidRPr="00B92006">
        <w:t xml:space="preserve"> </w:t>
      </w:r>
      <w:r w:rsidR="00A06080" w:rsidRPr="00B92006">
        <w:t>I</w:t>
      </w:r>
      <w:r w:rsidR="00D57C0A" w:rsidRPr="00B92006">
        <w:t xml:space="preserve">n </w:t>
      </w:r>
      <w:r w:rsidR="00D5120A" w:rsidRPr="00B92006">
        <w:t xml:space="preserve">the </w:t>
      </w:r>
      <w:r w:rsidR="00C92DE7" w:rsidRPr="00B92006">
        <w:t>Comparative Survey of Household and Place of Residence</w:t>
      </w:r>
      <w:r w:rsidR="00A06080" w:rsidRPr="00B92006">
        <w:t xml:space="preserve">, the partnership index detected 84% of </w:t>
      </w:r>
      <w:r w:rsidR="003D0253">
        <w:t xml:space="preserve">the </w:t>
      </w:r>
      <w:r w:rsidR="00A06080" w:rsidRPr="00B92006">
        <w:t>couples</w:t>
      </w:r>
      <w:r w:rsidR="00D57C0A" w:rsidRPr="00B92006">
        <w:t xml:space="preserve">. When couples matched by partnership index were used </w:t>
      </w:r>
      <w:r w:rsidR="005078F0" w:rsidRPr="00B92006">
        <w:t>to form register</w:t>
      </w:r>
      <w:r w:rsidR="00625582" w:rsidRPr="00B92006">
        <w:t>-</w:t>
      </w:r>
      <w:r w:rsidR="005078F0" w:rsidRPr="00B92006">
        <w:t>based families</w:t>
      </w:r>
      <w:r w:rsidR="00D57C0A" w:rsidRPr="00B92006">
        <w:t xml:space="preserve">, the </w:t>
      </w:r>
      <w:r w:rsidR="005078F0" w:rsidRPr="00EA1649">
        <w:t>distribution</w:t>
      </w:r>
      <w:r w:rsidR="00EA1649">
        <w:t>s</w:t>
      </w:r>
      <w:r w:rsidR="005078F0" w:rsidRPr="00B92006">
        <w:t xml:space="preserve"> of </w:t>
      </w:r>
      <w:r w:rsidR="00D57C0A" w:rsidRPr="00B92006">
        <w:t xml:space="preserve">family nucleus characteristics improved substantially. Still, </w:t>
      </w:r>
      <w:r w:rsidR="005078F0" w:rsidRPr="00B92006">
        <w:t xml:space="preserve">the share of </w:t>
      </w:r>
      <w:r w:rsidR="00A94BEC" w:rsidRPr="00B92006">
        <w:t>families with adult chi</w:t>
      </w:r>
      <w:r w:rsidR="005078F0" w:rsidRPr="00B92006">
        <w:t xml:space="preserve">ldren </w:t>
      </w:r>
      <w:r w:rsidR="00A06080" w:rsidRPr="00B92006">
        <w:t>was</w:t>
      </w:r>
      <w:r w:rsidR="005078F0" w:rsidRPr="00B92006">
        <w:t xml:space="preserve"> overestimated. </w:t>
      </w:r>
      <w:r w:rsidR="00A06080" w:rsidRPr="00B92006">
        <w:t xml:space="preserve">Better data on </w:t>
      </w:r>
      <w:r w:rsidR="003D0253">
        <w:t xml:space="preserve">the </w:t>
      </w:r>
      <w:r w:rsidR="00A06080" w:rsidRPr="00B92006">
        <w:t xml:space="preserve">place of residence </w:t>
      </w:r>
      <w:r w:rsidR="003D0253">
        <w:t>of</w:t>
      </w:r>
      <w:r w:rsidR="00A06080" w:rsidRPr="00B92006">
        <w:t xml:space="preserve"> young adults is vital to </w:t>
      </w:r>
      <w:r w:rsidR="007C0CBA" w:rsidRPr="00B92006">
        <w:t xml:space="preserve">obtain </w:t>
      </w:r>
      <w:r w:rsidR="003D0253">
        <w:t xml:space="preserve">a </w:t>
      </w:r>
      <w:r w:rsidR="007C0CBA" w:rsidRPr="00B92006">
        <w:t>representative portrayal of Estonian families.</w:t>
      </w:r>
    </w:p>
    <w:p w14:paraId="15D6A6CC" w14:textId="77777777" w:rsidR="00CE0D93" w:rsidRPr="00B92006" w:rsidRDefault="00A20E35" w:rsidP="005D44F8">
      <w:pPr>
        <w:pStyle w:val="NSMpealkiri2"/>
      </w:pPr>
      <w:r w:rsidRPr="00B92006">
        <w:t>6</w:t>
      </w:r>
      <w:r w:rsidR="00CE0D93" w:rsidRPr="00B92006">
        <w:t>. Acknowledgments</w:t>
      </w:r>
    </w:p>
    <w:p w14:paraId="6F6F5BF7" w14:textId="47153596" w:rsidR="00887386" w:rsidRPr="00B92006" w:rsidRDefault="00887386" w:rsidP="006B1F86">
      <w:pPr>
        <w:spacing w:before="360"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92006">
        <w:rPr>
          <w:rFonts w:ascii="Arial" w:hAnsi="Arial" w:cs="Arial"/>
          <w:sz w:val="24"/>
          <w:szCs w:val="24"/>
          <w:lang w:val="en-GB"/>
        </w:rPr>
        <w:t xml:space="preserve">We are grateful to colleagues at Statistics Estonia for </w:t>
      </w:r>
      <w:r w:rsidR="00C0188F" w:rsidRPr="00B92006">
        <w:rPr>
          <w:rFonts w:ascii="Arial" w:hAnsi="Arial" w:cs="Arial"/>
          <w:sz w:val="24"/>
          <w:szCs w:val="24"/>
          <w:lang w:val="en-GB"/>
        </w:rPr>
        <w:t xml:space="preserve">providing expertise and </w:t>
      </w:r>
      <w:r w:rsidRPr="00B92006">
        <w:rPr>
          <w:rFonts w:ascii="Arial" w:hAnsi="Arial" w:cs="Arial"/>
          <w:sz w:val="24"/>
          <w:szCs w:val="24"/>
          <w:lang w:val="en-GB"/>
        </w:rPr>
        <w:t>support with technical</w:t>
      </w:r>
      <w:r w:rsidR="00C0188F" w:rsidRPr="00B92006">
        <w:rPr>
          <w:rFonts w:ascii="Arial" w:hAnsi="Arial" w:cs="Arial"/>
          <w:sz w:val="24"/>
          <w:szCs w:val="24"/>
          <w:lang w:val="en-GB"/>
        </w:rPr>
        <w:t xml:space="preserve"> and</w:t>
      </w:r>
      <w:r w:rsidRPr="00B92006">
        <w:rPr>
          <w:rFonts w:ascii="Arial" w:hAnsi="Arial" w:cs="Arial"/>
          <w:sz w:val="24"/>
          <w:szCs w:val="24"/>
          <w:lang w:val="en-GB"/>
        </w:rPr>
        <w:t xml:space="preserve"> administrative </w:t>
      </w:r>
      <w:r w:rsidR="00C0188F" w:rsidRPr="00B92006">
        <w:rPr>
          <w:rFonts w:ascii="Arial" w:hAnsi="Arial" w:cs="Arial"/>
          <w:sz w:val="24"/>
          <w:szCs w:val="24"/>
          <w:lang w:val="en-GB"/>
        </w:rPr>
        <w:t>issues</w:t>
      </w:r>
      <w:r w:rsidRPr="00B92006">
        <w:rPr>
          <w:rFonts w:ascii="Arial" w:hAnsi="Arial" w:cs="Arial"/>
          <w:sz w:val="24"/>
          <w:szCs w:val="24"/>
          <w:lang w:val="en-GB"/>
        </w:rPr>
        <w:t xml:space="preserve">. Special thanks belongs to </w:t>
      </w:r>
      <w:r w:rsidR="00C0188F" w:rsidRPr="00B92006">
        <w:rPr>
          <w:rFonts w:ascii="Arial" w:hAnsi="Arial" w:cs="Arial"/>
          <w:sz w:val="24"/>
          <w:szCs w:val="24"/>
          <w:lang w:val="en-GB"/>
        </w:rPr>
        <w:t xml:space="preserve">people conducting </w:t>
      </w:r>
      <w:r w:rsidR="00C0188F" w:rsidRPr="00B92006">
        <w:rPr>
          <w:rFonts w:ascii="Arial" w:hAnsi="Arial" w:cs="Arial"/>
          <w:sz w:val="24"/>
          <w:szCs w:val="24"/>
          <w:lang w:val="en-GB"/>
        </w:rPr>
        <w:lastRenderedPageBreak/>
        <w:t>the CSHPR and its organizers: Kaja Sõstra, Ethel Maasing, Diana Beltadze and Ene</w:t>
      </w:r>
      <w:r w:rsidR="00625582" w:rsidRPr="00B92006">
        <w:rPr>
          <w:rFonts w:ascii="Arial" w:hAnsi="Arial" w:cs="Arial"/>
          <w:sz w:val="24"/>
          <w:szCs w:val="24"/>
          <w:lang w:val="en-GB"/>
        </w:rPr>
        <w:t>-</w:t>
      </w:r>
      <w:r w:rsidR="00C0188F" w:rsidRPr="00B92006">
        <w:rPr>
          <w:rFonts w:ascii="Arial" w:hAnsi="Arial" w:cs="Arial"/>
          <w:sz w:val="24"/>
          <w:szCs w:val="24"/>
          <w:lang w:val="en-GB"/>
        </w:rPr>
        <w:t>Margit Tiit.</w:t>
      </w:r>
    </w:p>
    <w:p w14:paraId="6168AE0C" w14:textId="77777777" w:rsidR="006B1F86" w:rsidRPr="00B92006" w:rsidRDefault="00A20E35" w:rsidP="005D44F8">
      <w:pPr>
        <w:pStyle w:val="NSMpealkiri2"/>
      </w:pPr>
      <w:r w:rsidRPr="00B92006">
        <w:t>7</w:t>
      </w:r>
      <w:r w:rsidR="006B1F86" w:rsidRPr="00B92006">
        <w:t>. References</w:t>
      </w:r>
    </w:p>
    <w:p w14:paraId="3A7A9ABA" w14:textId="4B110C71" w:rsidR="006B5F6C" w:rsidRPr="00570FA4" w:rsidRDefault="006B5F6C" w:rsidP="00190D6B">
      <w:pPr>
        <w:pStyle w:val="Bibliography"/>
        <w:rPr>
          <w:rFonts w:ascii="Arial" w:hAnsi="Arial" w:cs="Arial"/>
          <w:sz w:val="20"/>
          <w:szCs w:val="24"/>
        </w:rPr>
      </w:pPr>
      <w:r w:rsidRPr="00570FA4">
        <w:rPr>
          <w:rFonts w:ascii="Arial" w:hAnsi="Arial" w:cs="Arial"/>
          <w:sz w:val="20"/>
          <w:szCs w:val="24"/>
        </w:rPr>
        <w:t>Äär, H. (2017)</w:t>
      </w:r>
      <w:r w:rsidR="00716150" w:rsidRPr="00570FA4">
        <w:rPr>
          <w:rFonts w:ascii="Arial" w:hAnsi="Arial" w:cs="Arial"/>
          <w:sz w:val="20"/>
          <w:szCs w:val="24"/>
        </w:rPr>
        <w:t>,</w:t>
      </w:r>
      <w:r w:rsidR="00570FA4">
        <w:rPr>
          <w:rFonts w:ascii="Arial" w:hAnsi="Arial" w:cs="Arial"/>
          <w:sz w:val="20"/>
          <w:szCs w:val="24"/>
        </w:rPr>
        <w:t xml:space="preserve"> </w:t>
      </w:r>
      <w:r w:rsidRPr="00570FA4">
        <w:rPr>
          <w:rFonts w:ascii="Arial" w:hAnsi="Arial" w:cs="Arial"/>
          <w:sz w:val="20"/>
          <w:szCs w:val="24"/>
        </w:rPr>
        <w:t>Coincidence of Actual Place of Residence w</w:t>
      </w:r>
      <w:r w:rsidR="00570FA4">
        <w:rPr>
          <w:rFonts w:ascii="Arial" w:hAnsi="Arial" w:cs="Arial"/>
          <w:sz w:val="20"/>
          <w:szCs w:val="24"/>
        </w:rPr>
        <w:t>ith Population Register Records</w:t>
      </w:r>
      <w:r w:rsidRPr="00570FA4">
        <w:rPr>
          <w:rFonts w:ascii="Arial" w:hAnsi="Arial" w:cs="Arial"/>
          <w:sz w:val="20"/>
          <w:szCs w:val="24"/>
        </w:rPr>
        <w:t xml:space="preserve">, </w:t>
      </w:r>
      <w:r w:rsidRPr="00570FA4">
        <w:rPr>
          <w:rFonts w:ascii="Arial" w:hAnsi="Arial" w:cs="Arial"/>
          <w:iCs/>
          <w:sz w:val="20"/>
          <w:szCs w:val="24"/>
        </w:rPr>
        <w:t>Quarterly Bulletin of Statistics Estonia</w:t>
      </w:r>
      <w:r w:rsidRPr="00570FA4">
        <w:rPr>
          <w:rFonts w:ascii="Arial" w:hAnsi="Arial" w:cs="Arial"/>
          <w:sz w:val="20"/>
          <w:szCs w:val="24"/>
        </w:rPr>
        <w:t>, pp. 80–83.</w:t>
      </w:r>
    </w:p>
    <w:p w14:paraId="0C8EAB43" w14:textId="66898765" w:rsidR="006B5F6C" w:rsidRPr="00570FA4" w:rsidRDefault="006B5F6C" w:rsidP="00190D6B">
      <w:pPr>
        <w:pStyle w:val="Bibliography"/>
        <w:rPr>
          <w:rFonts w:ascii="Arial" w:hAnsi="Arial" w:cs="Arial"/>
          <w:sz w:val="20"/>
          <w:szCs w:val="24"/>
        </w:rPr>
      </w:pPr>
      <w:r w:rsidRPr="00570FA4">
        <w:rPr>
          <w:rFonts w:ascii="Arial" w:hAnsi="Arial" w:cs="Arial"/>
          <w:iCs/>
          <w:sz w:val="20"/>
          <w:szCs w:val="24"/>
        </w:rPr>
        <w:t>Commission Implementing Regulation (EU) 2017/543</w:t>
      </w:r>
      <w:r w:rsidR="00716150" w:rsidRPr="00570FA4">
        <w:rPr>
          <w:rFonts w:ascii="Arial" w:hAnsi="Arial" w:cs="Arial"/>
          <w:sz w:val="20"/>
          <w:szCs w:val="24"/>
        </w:rPr>
        <w:t xml:space="preserve"> (2017)</w:t>
      </w:r>
      <w:r w:rsidRPr="00570FA4">
        <w:rPr>
          <w:rFonts w:ascii="Arial" w:hAnsi="Arial" w:cs="Arial"/>
          <w:sz w:val="20"/>
          <w:szCs w:val="24"/>
        </w:rPr>
        <w:t xml:space="preserve"> Available at: http://eur-lex.europa.eu/legal-content/EN/TXT/?qid=1491315145905&amp;uri=CELEX:32017R0543.</w:t>
      </w:r>
    </w:p>
    <w:p w14:paraId="584CED13" w14:textId="1DE88575" w:rsidR="006B5F6C" w:rsidRPr="00570FA4" w:rsidRDefault="006B5F6C" w:rsidP="00190D6B">
      <w:pPr>
        <w:pStyle w:val="Bibliography"/>
        <w:rPr>
          <w:rFonts w:ascii="Arial" w:hAnsi="Arial" w:cs="Arial"/>
          <w:sz w:val="20"/>
          <w:szCs w:val="24"/>
        </w:rPr>
      </w:pPr>
      <w:r w:rsidRPr="00570FA4">
        <w:rPr>
          <w:rFonts w:ascii="Arial" w:hAnsi="Arial" w:cs="Arial"/>
          <w:sz w:val="20"/>
          <w:szCs w:val="24"/>
        </w:rPr>
        <w:t>Gale, D. and Shapley, L. S. (1962)</w:t>
      </w:r>
      <w:r w:rsidR="00716150" w:rsidRPr="00570FA4">
        <w:rPr>
          <w:rFonts w:ascii="Arial" w:hAnsi="Arial" w:cs="Arial"/>
          <w:sz w:val="20"/>
          <w:szCs w:val="24"/>
        </w:rPr>
        <w:t>,</w:t>
      </w:r>
      <w:r w:rsidR="00570FA4">
        <w:rPr>
          <w:rFonts w:ascii="Arial" w:hAnsi="Arial" w:cs="Arial"/>
          <w:sz w:val="20"/>
          <w:szCs w:val="24"/>
        </w:rPr>
        <w:t xml:space="preserve"> </w:t>
      </w:r>
      <w:r w:rsidRPr="00570FA4">
        <w:rPr>
          <w:rFonts w:ascii="Arial" w:hAnsi="Arial" w:cs="Arial"/>
          <w:sz w:val="20"/>
          <w:szCs w:val="24"/>
        </w:rPr>
        <w:t>College Admission</w:t>
      </w:r>
      <w:r w:rsidR="00570FA4">
        <w:rPr>
          <w:rFonts w:ascii="Arial" w:hAnsi="Arial" w:cs="Arial"/>
          <w:sz w:val="20"/>
          <w:szCs w:val="24"/>
        </w:rPr>
        <w:t>s and the Stability of Marriage</w:t>
      </w:r>
      <w:r w:rsidRPr="00570FA4">
        <w:rPr>
          <w:rFonts w:ascii="Arial" w:hAnsi="Arial" w:cs="Arial"/>
          <w:sz w:val="20"/>
          <w:szCs w:val="24"/>
        </w:rPr>
        <w:t xml:space="preserve">, </w:t>
      </w:r>
      <w:r w:rsidRPr="00570FA4">
        <w:rPr>
          <w:rFonts w:ascii="Arial" w:hAnsi="Arial" w:cs="Arial"/>
          <w:iCs/>
          <w:sz w:val="20"/>
          <w:szCs w:val="24"/>
        </w:rPr>
        <w:t>The American Mathematical Monthly</w:t>
      </w:r>
      <w:r w:rsidRPr="00570FA4">
        <w:rPr>
          <w:rFonts w:ascii="Arial" w:hAnsi="Arial" w:cs="Arial"/>
          <w:sz w:val="20"/>
          <w:szCs w:val="24"/>
        </w:rPr>
        <w:t>, 69(1), pp. 9–15. doi: 10.2307/2312726.</w:t>
      </w:r>
    </w:p>
    <w:p w14:paraId="1A2FD389" w14:textId="61D5AD63" w:rsidR="006B5F6C" w:rsidRPr="00570FA4" w:rsidRDefault="006B5F6C" w:rsidP="00190D6B">
      <w:pPr>
        <w:pStyle w:val="Bibliography"/>
        <w:rPr>
          <w:rFonts w:ascii="Arial" w:hAnsi="Arial" w:cs="Arial"/>
          <w:sz w:val="20"/>
          <w:szCs w:val="24"/>
        </w:rPr>
      </w:pPr>
      <w:r w:rsidRPr="00570FA4">
        <w:rPr>
          <w:rFonts w:ascii="Arial" w:hAnsi="Arial" w:cs="Arial"/>
          <w:sz w:val="20"/>
          <w:szCs w:val="24"/>
        </w:rPr>
        <w:t>Maasing, E., Tiit, E.-M. and Vähi, M. (2017)</w:t>
      </w:r>
      <w:r w:rsidR="00716150" w:rsidRPr="00570FA4">
        <w:rPr>
          <w:rFonts w:ascii="Arial" w:hAnsi="Arial" w:cs="Arial"/>
          <w:sz w:val="20"/>
          <w:szCs w:val="24"/>
        </w:rPr>
        <w:t>,</w:t>
      </w:r>
      <w:r w:rsidR="00570FA4">
        <w:rPr>
          <w:rFonts w:ascii="Arial" w:hAnsi="Arial" w:cs="Arial"/>
          <w:sz w:val="20"/>
          <w:szCs w:val="24"/>
        </w:rPr>
        <w:t xml:space="preserve"> </w:t>
      </w:r>
      <w:r w:rsidRPr="00570FA4">
        <w:rPr>
          <w:rFonts w:ascii="Arial" w:hAnsi="Arial" w:cs="Arial"/>
          <w:sz w:val="20"/>
          <w:szCs w:val="24"/>
        </w:rPr>
        <w:t>Residency index – a tool fo</w:t>
      </w:r>
      <w:r w:rsidR="00570FA4">
        <w:rPr>
          <w:rFonts w:ascii="Arial" w:hAnsi="Arial" w:cs="Arial"/>
          <w:sz w:val="20"/>
          <w:szCs w:val="24"/>
        </w:rPr>
        <w:t>r measuring the population size</w:t>
      </w:r>
      <w:r w:rsidRPr="00570FA4">
        <w:rPr>
          <w:rFonts w:ascii="Arial" w:hAnsi="Arial" w:cs="Arial"/>
          <w:sz w:val="20"/>
          <w:szCs w:val="24"/>
        </w:rPr>
        <w:t xml:space="preserve">, </w:t>
      </w:r>
      <w:r w:rsidRPr="00570FA4">
        <w:rPr>
          <w:rFonts w:ascii="Arial" w:hAnsi="Arial" w:cs="Arial"/>
          <w:iCs/>
          <w:sz w:val="20"/>
          <w:szCs w:val="24"/>
        </w:rPr>
        <w:t>Acta et Commentationes Universitatis Tartuensis de Mathematica</w:t>
      </w:r>
      <w:r w:rsidRPr="00570FA4">
        <w:rPr>
          <w:rFonts w:ascii="Arial" w:hAnsi="Arial" w:cs="Arial"/>
          <w:sz w:val="20"/>
          <w:szCs w:val="24"/>
        </w:rPr>
        <w:t>, 21(1), p. 129. doi: 10.12697/ACUTM.2017.21.09.</w:t>
      </w:r>
    </w:p>
    <w:p w14:paraId="37D2FC3F" w14:textId="41457B46" w:rsidR="006B5F6C" w:rsidRPr="00570FA4" w:rsidRDefault="006B5F6C" w:rsidP="00190D6B">
      <w:pPr>
        <w:pStyle w:val="Bibliography"/>
        <w:rPr>
          <w:rFonts w:ascii="Arial" w:hAnsi="Arial" w:cs="Arial"/>
          <w:sz w:val="20"/>
          <w:szCs w:val="24"/>
        </w:rPr>
      </w:pPr>
      <w:r w:rsidRPr="00570FA4">
        <w:rPr>
          <w:rFonts w:ascii="Arial" w:hAnsi="Arial" w:cs="Arial"/>
          <w:sz w:val="20"/>
          <w:szCs w:val="24"/>
        </w:rPr>
        <w:t>Matteus, D. (2013)</w:t>
      </w:r>
      <w:r w:rsidR="00716150" w:rsidRPr="00570FA4">
        <w:rPr>
          <w:rFonts w:ascii="Arial" w:hAnsi="Arial" w:cs="Arial"/>
          <w:sz w:val="20"/>
          <w:szCs w:val="24"/>
        </w:rPr>
        <w:t>,</w:t>
      </w:r>
      <w:r w:rsidR="00570FA4">
        <w:rPr>
          <w:rFonts w:ascii="Arial" w:hAnsi="Arial" w:cs="Arial"/>
          <w:sz w:val="20"/>
          <w:szCs w:val="24"/>
        </w:rPr>
        <w:t xml:space="preserve"> </w:t>
      </w:r>
      <w:r w:rsidRPr="00570FA4">
        <w:rPr>
          <w:rFonts w:ascii="Arial" w:hAnsi="Arial" w:cs="Arial"/>
          <w:sz w:val="20"/>
          <w:szCs w:val="24"/>
        </w:rPr>
        <w:t>Roa</w:t>
      </w:r>
      <w:r w:rsidR="00570FA4">
        <w:rPr>
          <w:rFonts w:ascii="Arial" w:hAnsi="Arial" w:cs="Arial"/>
          <w:sz w:val="20"/>
          <w:szCs w:val="24"/>
        </w:rPr>
        <w:t>dmap to a register-based census</w:t>
      </w:r>
      <w:r w:rsidRPr="00570FA4">
        <w:rPr>
          <w:rFonts w:ascii="Arial" w:hAnsi="Arial" w:cs="Arial"/>
          <w:sz w:val="20"/>
          <w:szCs w:val="24"/>
        </w:rPr>
        <w:t xml:space="preserve">, </w:t>
      </w:r>
      <w:r w:rsidRPr="00570FA4">
        <w:rPr>
          <w:rFonts w:ascii="Arial" w:hAnsi="Arial" w:cs="Arial"/>
          <w:iCs/>
          <w:sz w:val="20"/>
          <w:szCs w:val="24"/>
        </w:rPr>
        <w:t>Quarterly Bulletin of Statistics Estonia</w:t>
      </w:r>
      <w:r w:rsidRPr="00570FA4">
        <w:rPr>
          <w:rFonts w:ascii="Arial" w:hAnsi="Arial" w:cs="Arial"/>
          <w:sz w:val="20"/>
          <w:szCs w:val="24"/>
        </w:rPr>
        <w:t>, pp. 64–69.</w:t>
      </w:r>
    </w:p>
    <w:p w14:paraId="3423CFAF" w14:textId="4782C153" w:rsidR="006B5F6C" w:rsidRPr="00570FA4" w:rsidRDefault="006B5F6C" w:rsidP="00190D6B">
      <w:pPr>
        <w:pStyle w:val="Bibliography"/>
        <w:rPr>
          <w:rFonts w:ascii="Arial" w:hAnsi="Arial" w:cs="Arial"/>
          <w:sz w:val="20"/>
          <w:szCs w:val="24"/>
        </w:rPr>
      </w:pPr>
      <w:r w:rsidRPr="00570FA4">
        <w:rPr>
          <w:rFonts w:ascii="Arial" w:hAnsi="Arial" w:cs="Arial"/>
          <w:sz w:val="20"/>
          <w:szCs w:val="24"/>
        </w:rPr>
        <w:t>Meres, K. (2017)</w:t>
      </w:r>
      <w:r w:rsidR="00716150" w:rsidRPr="00570FA4">
        <w:rPr>
          <w:rFonts w:ascii="Arial" w:hAnsi="Arial" w:cs="Arial"/>
          <w:sz w:val="20"/>
          <w:szCs w:val="24"/>
        </w:rPr>
        <w:t>,</w:t>
      </w:r>
      <w:r w:rsidR="00570FA4">
        <w:rPr>
          <w:rFonts w:ascii="Arial" w:hAnsi="Arial" w:cs="Arial"/>
          <w:sz w:val="20"/>
          <w:szCs w:val="24"/>
        </w:rPr>
        <w:t xml:space="preserve"> </w:t>
      </w:r>
      <w:r w:rsidRPr="00570FA4">
        <w:rPr>
          <w:rFonts w:ascii="Arial" w:hAnsi="Arial" w:cs="Arial"/>
          <w:sz w:val="20"/>
          <w:szCs w:val="24"/>
        </w:rPr>
        <w:t>Calculation of population size: residen</w:t>
      </w:r>
      <w:r w:rsidR="00570FA4">
        <w:rPr>
          <w:rFonts w:ascii="Arial" w:hAnsi="Arial" w:cs="Arial"/>
          <w:sz w:val="20"/>
          <w:szCs w:val="24"/>
        </w:rPr>
        <w:t>cy index vs population register</w:t>
      </w:r>
      <w:r w:rsidRPr="00570FA4">
        <w:rPr>
          <w:rFonts w:ascii="Arial" w:hAnsi="Arial" w:cs="Arial"/>
          <w:sz w:val="20"/>
          <w:szCs w:val="24"/>
        </w:rPr>
        <w:t xml:space="preserve">, </w:t>
      </w:r>
      <w:r w:rsidRPr="00570FA4">
        <w:rPr>
          <w:rFonts w:ascii="Arial" w:hAnsi="Arial" w:cs="Arial"/>
          <w:iCs/>
          <w:sz w:val="20"/>
          <w:szCs w:val="24"/>
        </w:rPr>
        <w:t>Quarterly Bulletin of Statistics Estonia</w:t>
      </w:r>
      <w:r w:rsidRPr="00570FA4">
        <w:rPr>
          <w:rFonts w:ascii="Arial" w:hAnsi="Arial" w:cs="Arial"/>
          <w:sz w:val="20"/>
          <w:szCs w:val="24"/>
        </w:rPr>
        <w:t>, pp. 67–72.</w:t>
      </w:r>
    </w:p>
    <w:p w14:paraId="5CE33B66" w14:textId="77777777" w:rsidR="006B5F6C" w:rsidRPr="00570FA4" w:rsidRDefault="006B5F6C" w:rsidP="00190D6B">
      <w:pPr>
        <w:pStyle w:val="Bibliography"/>
        <w:rPr>
          <w:rFonts w:ascii="Arial" w:hAnsi="Arial" w:cs="Arial"/>
          <w:sz w:val="20"/>
          <w:szCs w:val="24"/>
        </w:rPr>
      </w:pPr>
      <w:r w:rsidRPr="00570FA4">
        <w:rPr>
          <w:rFonts w:ascii="Arial" w:hAnsi="Arial" w:cs="Arial"/>
          <w:iCs/>
          <w:sz w:val="20"/>
          <w:szCs w:val="24"/>
        </w:rPr>
        <w:t>Population Register Act</w:t>
      </w:r>
      <w:r w:rsidRPr="00570FA4">
        <w:rPr>
          <w:rFonts w:ascii="Arial" w:hAnsi="Arial" w:cs="Arial"/>
          <w:sz w:val="20"/>
          <w:szCs w:val="24"/>
        </w:rPr>
        <w:t xml:space="preserve"> (2000) </w:t>
      </w:r>
      <w:r w:rsidRPr="00570FA4">
        <w:rPr>
          <w:rFonts w:ascii="Arial" w:hAnsi="Arial" w:cs="Arial"/>
          <w:iCs/>
          <w:sz w:val="20"/>
          <w:szCs w:val="24"/>
        </w:rPr>
        <w:t>Elektrooniline Riigi Teataja</w:t>
      </w:r>
      <w:r w:rsidRPr="00570FA4">
        <w:rPr>
          <w:rFonts w:ascii="Arial" w:hAnsi="Arial" w:cs="Arial"/>
          <w:sz w:val="20"/>
          <w:szCs w:val="24"/>
        </w:rPr>
        <w:t>. Available at: https://www.riigiteataja.ee/en/eli/522032019005/consolide (Accessed: 14 May 2019).</w:t>
      </w:r>
    </w:p>
    <w:p w14:paraId="146A9532" w14:textId="0DDDB3E7" w:rsidR="006B5F6C" w:rsidRPr="00570FA4" w:rsidRDefault="00570FA4" w:rsidP="00190D6B">
      <w:pPr>
        <w:pStyle w:val="Bibliography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Stable marriage problem</w:t>
      </w:r>
      <w:r w:rsidR="006B5F6C" w:rsidRPr="00570FA4">
        <w:rPr>
          <w:rFonts w:ascii="Arial" w:hAnsi="Arial" w:cs="Arial"/>
          <w:sz w:val="20"/>
          <w:szCs w:val="24"/>
        </w:rPr>
        <w:t xml:space="preserve"> (2018) </w:t>
      </w:r>
      <w:r w:rsidR="006B5F6C" w:rsidRPr="00570FA4">
        <w:rPr>
          <w:rFonts w:ascii="Arial" w:hAnsi="Arial" w:cs="Arial"/>
          <w:iCs/>
          <w:sz w:val="20"/>
          <w:szCs w:val="24"/>
        </w:rPr>
        <w:t>Wikipedia</w:t>
      </w:r>
      <w:r w:rsidR="006B5F6C" w:rsidRPr="00570FA4">
        <w:rPr>
          <w:rFonts w:ascii="Arial" w:hAnsi="Arial" w:cs="Arial"/>
          <w:sz w:val="20"/>
          <w:szCs w:val="24"/>
        </w:rPr>
        <w:t>. Available at: https://en.wikipedia.org/w/index.php?title=Stable_marriage_problem&amp;oldid=818301755 (Accessed: 13 February 2018).</w:t>
      </w:r>
    </w:p>
    <w:p w14:paraId="57EA4A2C" w14:textId="490493A4" w:rsidR="006B5F6C" w:rsidRPr="00570FA4" w:rsidRDefault="006B5F6C" w:rsidP="00190D6B">
      <w:pPr>
        <w:pStyle w:val="Bibliography"/>
        <w:rPr>
          <w:rFonts w:ascii="Arial" w:hAnsi="Arial" w:cs="Arial"/>
          <w:sz w:val="20"/>
          <w:szCs w:val="24"/>
        </w:rPr>
      </w:pPr>
      <w:r w:rsidRPr="00570FA4">
        <w:rPr>
          <w:rFonts w:ascii="Arial" w:hAnsi="Arial" w:cs="Arial"/>
          <w:sz w:val="20"/>
          <w:szCs w:val="24"/>
        </w:rPr>
        <w:t>Statistics Estonia (2017)</w:t>
      </w:r>
      <w:r w:rsidR="00570FA4" w:rsidRPr="00570FA4">
        <w:rPr>
          <w:rFonts w:ascii="Arial" w:hAnsi="Arial" w:cs="Arial"/>
          <w:sz w:val="20"/>
          <w:szCs w:val="24"/>
        </w:rPr>
        <w:t>,</w:t>
      </w:r>
      <w:r w:rsidRPr="00570FA4">
        <w:rPr>
          <w:rFonts w:ascii="Arial" w:hAnsi="Arial" w:cs="Arial"/>
          <w:sz w:val="20"/>
          <w:szCs w:val="24"/>
        </w:rPr>
        <w:t xml:space="preserve"> </w:t>
      </w:r>
      <w:r w:rsidRPr="00570FA4">
        <w:rPr>
          <w:rFonts w:ascii="Arial" w:hAnsi="Arial" w:cs="Arial"/>
          <w:iCs/>
          <w:sz w:val="20"/>
          <w:szCs w:val="24"/>
        </w:rPr>
        <w:t>Report on the First Trial Census of the Register-Based Population and Housing Census (REGREL)</w:t>
      </w:r>
      <w:r w:rsidRPr="00570FA4">
        <w:rPr>
          <w:rFonts w:ascii="Arial" w:hAnsi="Arial" w:cs="Arial"/>
          <w:sz w:val="20"/>
          <w:szCs w:val="24"/>
        </w:rPr>
        <w:t>. Available at: https://www.stat.ee/dokumendid/545977.</w:t>
      </w:r>
    </w:p>
    <w:p w14:paraId="522C5DDD" w14:textId="5E2742D3" w:rsidR="006B5F6C" w:rsidRPr="00570FA4" w:rsidRDefault="006B5F6C" w:rsidP="00190D6B">
      <w:pPr>
        <w:pStyle w:val="Bibliography"/>
        <w:rPr>
          <w:rFonts w:ascii="Arial" w:hAnsi="Arial" w:cs="Arial"/>
          <w:sz w:val="20"/>
          <w:szCs w:val="24"/>
        </w:rPr>
      </w:pPr>
      <w:r w:rsidRPr="00570FA4">
        <w:rPr>
          <w:rFonts w:ascii="Arial" w:hAnsi="Arial" w:cs="Arial"/>
          <w:sz w:val="20"/>
          <w:szCs w:val="24"/>
        </w:rPr>
        <w:t>Tiit, E.-M. (2015)</w:t>
      </w:r>
      <w:r w:rsidR="00570FA4" w:rsidRPr="00570FA4">
        <w:rPr>
          <w:rFonts w:ascii="Arial" w:hAnsi="Arial" w:cs="Arial"/>
          <w:sz w:val="20"/>
          <w:szCs w:val="24"/>
        </w:rPr>
        <w:t>,</w:t>
      </w:r>
      <w:r w:rsidR="00570FA4">
        <w:rPr>
          <w:rFonts w:ascii="Arial" w:hAnsi="Arial" w:cs="Arial"/>
          <w:sz w:val="20"/>
          <w:szCs w:val="24"/>
        </w:rPr>
        <w:t xml:space="preserve"> </w:t>
      </w:r>
      <w:r w:rsidRPr="00570FA4">
        <w:rPr>
          <w:rFonts w:ascii="Arial" w:hAnsi="Arial" w:cs="Arial"/>
          <w:sz w:val="20"/>
          <w:szCs w:val="24"/>
        </w:rPr>
        <w:t>The Register-Based Population and Housing Census: Metho</w:t>
      </w:r>
      <w:r w:rsidR="00570FA4">
        <w:rPr>
          <w:rFonts w:ascii="Arial" w:hAnsi="Arial" w:cs="Arial"/>
          <w:sz w:val="20"/>
          <w:szCs w:val="24"/>
        </w:rPr>
        <w:t>dology and Developments thereof</w:t>
      </w:r>
      <w:r w:rsidRPr="00570FA4">
        <w:rPr>
          <w:rFonts w:ascii="Arial" w:hAnsi="Arial" w:cs="Arial"/>
          <w:sz w:val="20"/>
          <w:szCs w:val="24"/>
        </w:rPr>
        <w:t xml:space="preserve">, </w:t>
      </w:r>
      <w:r w:rsidRPr="00570FA4">
        <w:rPr>
          <w:rFonts w:ascii="Arial" w:hAnsi="Arial" w:cs="Arial"/>
          <w:iCs/>
          <w:sz w:val="20"/>
          <w:szCs w:val="24"/>
        </w:rPr>
        <w:t>Quarterly Bulletin of Statistics Estonia</w:t>
      </w:r>
      <w:r w:rsidRPr="00570FA4">
        <w:rPr>
          <w:rFonts w:ascii="Arial" w:hAnsi="Arial" w:cs="Arial"/>
          <w:sz w:val="20"/>
          <w:szCs w:val="24"/>
        </w:rPr>
        <w:t>, pp. 61–71.</w:t>
      </w:r>
    </w:p>
    <w:p w14:paraId="0B19C600" w14:textId="09F31BF9" w:rsidR="006B5F6C" w:rsidRPr="00570FA4" w:rsidRDefault="006B5F6C" w:rsidP="00190D6B">
      <w:pPr>
        <w:pStyle w:val="Bibliography"/>
        <w:rPr>
          <w:rFonts w:ascii="Arial" w:hAnsi="Arial" w:cs="Arial"/>
          <w:sz w:val="20"/>
          <w:szCs w:val="24"/>
        </w:rPr>
      </w:pPr>
      <w:r w:rsidRPr="00570FA4">
        <w:rPr>
          <w:rFonts w:ascii="Arial" w:hAnsi="Arial" w:cs="Arial"/>
          <w:sz w:val="20"/>
          <w:szCs w:val="24"/>
        </w:rPr>
        <w:t>Tiit, E.-M. and Maasing, E. (2016)</w:t>
      </w:r>
      <w:r w:rsidR="00570FA4" w:rsidRPr="00570FA4">
        <w:rPr>
          <w:rFonts w:ascii="Arial" w:hAnsi="Arial" w:cs="Arial"/>
          <w:sz w:val="20"/>
          <w:szCs w:val="24"/>
        </w:rPr>
        <w:t>,</w:t>
      </w:r>
      <w:r w:rsidR="00570FA4">
        <w:rPr>
          <w:rFonts w:ascii="Arial" w:hAnsi="Arial" w:cs="Arial"/>
          <w:sz w:val="20"/>
          <w:szCs w:val="24"/>
        </w:rPr>
        <w:t xml:space="preserve"> </w:t>
      </w:r>
      <w:r w:rsidRPr="00570FA4">
        <w:rPr>
          <w:rFonts w:ascii="Arial" w:hAnsi="Arial" w:cs="Arial"/>
          <w:sz w:val="20"/>
          <w:szCs w:val="24"/>
        </w:rPr>
        <w:t>Residency Index and Its Applications in Cen</w:t>
      </w:r>
      <w:r w:rsidR="00570FA4">
        <w:rPr>
          <w:rFonts w:ascii="Arial" w:hAnsi="Arial" w:cs="Arial"/>
          <w:sz w:val="20"/>
          <w:szCs w:val="24"/>
        </w:rPr>
        <w:t>suses and Population Statistics</w:t>
      </w:r>
      <w:r w:rsidRPr="00570FA4">
        <w:rPr>
          <w:rFonts w:ascii="Arial" w:hAnsi="Arial" w:cs="Arial"/>
          <w:sz w:val="20"/>
          <w:szCs w:val="24"/>
        </w:rPr>
        <w:t xml:space="preserve">, </w:t>
      </w:r>
      <w:r w:rsidRPr="00570FA4">
        <w:rPr>
          <w:rFonts w:ascii="Arial" w:hAnsi="Arial" w:cs="Arial"/>
          <w:iCs/>
          <w:sz w:val="20"/>
          <w:szCs w:val="24"/>
        </w:rPr>
        <w:t>Quarterly Bulletin of Statistics Estonia</w:t>
      </w:r>
      <w:r w:rsidRPr="00570FA4">
        <w:rPr>
          <w:rFonts w:ascii="Arial" w:hAnsi="Arial" w:cs="Arial"/>
          <w:sz w:val="20"/>
          <w:szCs w:val="24"/>
        </w:rPr>
        <w:t>, pp. 53–73.</w:t>
      </w:r>
    </w:p>
    <w:p w14:paraId="76CD91E3" w14:textId="12D2600F" w:rsidR="006B5F6C" w:rsidRPr="00570FA4" w:rsidRDefault="006B5F6C" w:rsidP="00190D6B">
      <w:pPr>
        <w:pStyle w:val="Bibliography"/>
        <w:rPr>
          <w:rFonts w:ascii="Arial" w:hAnsi="Arial" w:cs="Arial"/>
          <w:sz w:val="20"/>
          <w:szCs w:val="24"/>
        </w:rPr>
      </w:pPr>
      <w:r w:rsidRPr="00570FA4">
        <w:rPr>
          <w:rFonts w:ascii="Arial" w:hAnsi="Arial" w:cs="Arial"/>
          <w:sz w:val="20"/>
          <w:szCs w:val="24"/>
        </w:rPr>
        <w:t>Tiit, E.-M., Visk, H. and Levenko, V. (2018)</w:t>
      </w:r>
      <w:r w:rsidR="00570FA4" w:rsidRPr="00570FA4">
        <w:rPr>
          <w:rFonts w:ascii="Arial" w:hAnsi="Arial" w:cs="Arial"/>
          <w:sz w:val="20"/>
          <w:szCs w:val="24"/>
        </w:rPr>
        <w:t>,</w:t>
      </w:r>
      <w:r w:rsidR="00570FA4">
        <w:rPr>
          <w:rFonts w:ascii="Arial" w:hAnsi="Arial" w:cs="Arial"/>
          <w:sz w:val="20"/>
          <w:szCs w:val="24"/>
        </w:rPr>
        <w:t xml:space="preserve"> Partnership index</w:t>
      </w:r>
      <w:r w:rsidRPr="00570FA4">
        <w:rPr>
          <w:rFonts w:ascii="Arial" w:hAnsi="Arial" w:cs="Arial"/>
          <w:sz w:val="20"/>
          <w:szCs w:val="24"/>
        </w:rPr>
        <w:t xml:space="preserve">, </w:t>
      </w:r>
      <w:r w:rsidRPr="00570FA4">
        <w:rPr>
          <w:rFonts w:ascii="Arial" w:hAnsi="Arial" w:cs="Arial"/>
          <w:iCs/>
          <w:sz w:val="20"/>
          <w:szCs w:val="24"/>
        </w:rPr>
        <w:t>Quarterly Bulletin of Statistics Estonia</w:t>
      </w:r>
      <w:r w:rsidRPr="00570FA4">
        <w:rPr>
          <w:rFonts w:ascii="Arial" w:hAnsi="Arial" w:cs="Arial"/>
          <w:sz w:val="20"/>
          <w:szCs w:val="24"/>
        </w:rPr>
        <w:t>.</w:t>
      </w:r>
    </w:p>
    <w:p w14:paraId="4762B1E4" w14:textId="5B765368" w:rsidR="006B5F6C" w:rsidRPr="00570FA4" w:rsidRDefault="006B5F6C" w:rsidP="00190D6B">
      <w:pPr>
        <w:pStyle w:val="Bibliography"/>
        <w:rPr>
          <w:rFonts w:ascii="Arial" w:hAnsi="Arial" w:cs="Arial"/>
          <w:sz w:val="20"/>
          <w:szCs w:val="24"/>
        </w:rPr>
      </w:pPr>
      <w:r w:rsidRPr="00570FA4">
        <w:rPr>
          <w:rFonts w:ascii="Arial" w:hAnsi="Arial" w:cs="Arial"/>
          <w:sz w:val="20"/>
          <w:szCs w:val="24"/>
        </w:rPr>
        <w:t xml:space="preserve">UNECE (n.d.) </w:t>
      </w:r>
      <w:r w:rsidRPr="00570FA4">
        <w:rPr>
          <w:rFonts w:ascii="Arial" w:hAnsi="Arial" w:cs="Arial"/>
          <w:iCs/>
          <w:sz w:val="20"/>
          <w:szCs w:val="24"/>
        </w:rPr>
        <w:t>2020 Population Census Round</w:t>
      </w:r>
      <w:r w:rsidR="00570FA4" w:rsidRPr="00570FA4">
        <w:rPr>
          <w:rFonts w:ascii="Arial" w:hAnsi="Arial" w:cs="Arial"/>
          <w:iCs/>
          <w:sz w:val="20"/>
          <w:szCs w:val="24"/>
        </w:rPr>
        <w:t>.</w:t>
      </w:r>
      <w:r w:rsidRPr="00570FA4">
        <w:rPr>
          <w:rFonts w:ascii="Arial" w:hAnsi="Arial" w:cs="Arial"/>
          <w:sz w:val="20"/>
          <w:szCs w:val="24"/>
        </w:rPr>
        <w:t xml:space="preserve"> Available at: https://statswiki.unece.org/display/censuses/2020+Population+Census+Round (Accessed: 6 May 2019).</w:t>
      </w:r>
    </w:p>
    <w:p w14:paraId="304F5E8E" w14:textId="76972AC8" w:rsidR="006B5F6C" w:rsidRPr="00570FA4" w:rsidRDefault="006B5F6C" w:rsidP="00190D6B">
      <w:pPr>
        <w:pStyle w:val="Bibliography"/>
        <w:rPr>
          <w:rFonts w:ascii="Arial" w:hAnsi="Arial" w:cs="Arial"/>
          <w:sz w:val="20"/>
          <w:szCs w:val="24"/>
        </w:rPr>
      </w:pPr>
      <w:r w:rsidRPr="00570FA4">
        <w:rPr>
          <w:rFonts w:ascii="Arial" w:hAnsi="Arial" w:cs="Arial"/>
          <w:sz w:val="20"/>
          <w:szCs w:val="24"/>
        </w:rPr>
        <w:t>Visk, H. (2019)</w:t>
      </w:r>
      <w:r w:rsidR="00570FA4" w:rsidRPr="00570FA4">
        <w:rPr>
          <w:rFonts w:ascii="Arial" w:hAnsi="Arial" w:cs="Arial"/>
          <w:sz w:val="20"/>
          <w:szCs w:val="24"/>
        </w:rPr>
        <w:t>,</w:t>
      </w:r>
      <w:r w:rsidR="00570FA4">
        <w:rPr>
          <w:rFonts w:ascii="Arial" w:hAnsi="Arial" w:cs="Arial"/>
          <w:sz w:val="20"/>
          <w:szCs w:val="24"/>
        </w:rPr>
        <w:t xml:space="preserve"> </w:t>
      </w:r>
      <w:r w:rsidRPr="00570FA4">
        <w:rPr>
          <w:rFonts w:ascii="Arial" w:hAnsi="Arial" w:cs="Arial"/>
          <w:sz w:val="20"/>
          <w:szCs w:val="24"/>
        </w:rPr>
        <w:t>An index-based approach to determine partn</w:t>
      </w:r>
      <w:r w:rsidR="00570FA4">
        <w:rPr>
          <w:rFonts w:ascii="Arial" w:hAnsi="Arial" w:cs="Arial"/>
          <w:sz w:val="20"/>
          <w:szCs w:val="24"/>
        </w:rPr>
        <w:t>ership in register-based census</w:t>
      </w:r>
      <w:r w:rsidRPr="00570FA4">
        <w:rPr>
          <w:rFonts w:ascii="Arial" w:hAnsi="Arial" w:cs="Arial"/>
          <w:sz w:val="20"/>
          <w:szCs w:val="24"/>
        </w:rPr>
        <w:t xml:space="preserve">, </w:t>
      </w:r>
      <w:r w:rsidRPr="00570FA4">
        <w:rPr>
          <w:rFonts w:ascii="Arial" w:hAnsi="Arial" w:cs="Arial"/>
          <w:iCs/>
          <w:sz w:val="20"/>
          <w:szCs w:val="24"/>
        </w:rPr>
        <w:t>Statistical Journal of the IAOS</w:t>
      </w:r>
      <w:r w:rsidRPr="00570FA4">
        <w:rPr>
          <w:rFonts w:ascii="Arial" w:hAnsi="Arial" w:cs="Arial"/>
          <w:sz w:val="20"/>
          <w:szCs w:val="24"/>
        </w:rPr>
        <w:t>, 35(2), pp. 245–251. doi: 10.3233/SJI-180484.</w:t>
      </w:r>
    </w:p>
    <w:p w14:paraId="2A0EBDF1" w14:textId="6039E3D5" w:rsidR="006B1F86" w:rsidRPr="00B92006" w:rsidRDefault="006B1F86" w:rsidP="00DB4182">
      <w:pPr>
        <w:spacing w:before="240"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sectPr w:rsidR="006B1F86" w:rsidRPr="00B92006" w:rsidSect="0023623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39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EA0F2" w14:textId="77777777" w:rsidR="00716150" w:rsidRDefault="00716150" w:rsidP="00E82B25">
      <w:pPr>
        <w:spacing w:after="0" w:line="240" w:lineRule="auto"/>
      </w:pPr>
      <w:r>
        <w:separator/>
      </w:r>
    </w:p>
  </w:endnote>
  <w:endnote w:type="continuationSeparator" w:id="0">
    <w:p w14:paraId="4E4F8CBC" w14:textId="77777777" w:rsidR="00716150" w:rsidRDefault="00716150" w:rsidP="00E8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43666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E36C342" w14:textId="60EC48E8" w:rsidR="00716150" w:rsidRPr="009378F5" w:rsidRDefault="00716150" w:rsidP="0035694D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9378F5">
          <w:rPr>
            <w:rFonts w:ascii="Arial" w:hAnsi="Arial" w:cs="Arial"/>
            <w:sz w:val="24"/>
            <w:szCs w:val="24"/>
          </w:rPr>
          <w:fldChar w:fldCharType="begin"/>
        </w:r>
        <w:r w:rsidRPr="009378F5">
          <w:rPr>
            <w:rFonts w:ascii="Arial" w:hAnsi="Arial" w:cs="Arial"/>
            <w:sz w:val="24"/>
            <w:szCs w:val="24"/>
          </w:rPr>
          <w:instrText>PAGE   \* MERGEFORMAT</w:instrText>
        </w:r>
        <w:r w:rsidRPr="009378F5">
          <w:rPr>
            <w:rFonts w:ascii="Arial" w:hAnsi="Arial" w:cs="Arial"/>
            <w:sz w:val="24"/>
            <w:szCs w:val="24"/>
          </w:rPr>
          <w:fldChar w:fldCharType="separate"/>
        </w:r>
        <w:r w:rsidR="00570FA4">
          <w:rPr>
            <w:rFonts w:ascii="Arial" w:hAnsi="Arial" w:cs="Arial"/>
            <w:noProof/>
            <w:sz w:val="24"/>
            <w:szCs w:val="24"/>
          </w:rPr>
          <w:t>16</w:t>
        </w:r>
        <w:r w:rsidRPr="009378F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99401" w14:textId="77777777" w:rsidR="00716150" w:rsidRDefault="00716150" w:rsidP="00E82B25">
      <w:pPr>
        <w:spacing w:after="0" w:line="240" w:lineRule="auto"/>
      </w:pPr>
      <w:r>
        <w:separator/>
      </w:r>
    </w:p>
  </w:footnote>
  <w:footnote w:type="continuationSeparator" w:id="0">
    <w:p w14:paraId="1EBC5A65" w14:textId="77777777" w:rsidR="00716150" w:rsidRDefault="00716150" w:rsidP="00E82B25">
      <w:pPr>
        <w:spacing w:after="0" w:line="240" w:lineRule="auto"/>
      </w:pPr>
      <w:r>
        <w:continuationSeparator/>
      </w:r>
    </w:p>
  </w:footnote>
  <w:footnote w:id="1">
    <w:p w14:paraId="0F9C1E7D" w14:textId="561041A9" w:rsidR="00716150" w:rsidRPr="00112C63" w:rsidRDefault="00716150" w:rsidP="00112C63">
      <w:pPr>
        <w:pStyle w:val="NSMnormal"/>
        <w:rPr>
          <w:sz w:val="20"/>
          <w:lang w:val="et-EE"/>
        </w:rPr>
      </w:pPr>
      <w:r w:rsidRPr="004B304C">
        <w:rPr>
          <w:rStyle w:val="FootnoteReference"/>
        </w:rPr>
        <w:footnoteRef/>
      </w:r>
      <w:r w:rsidRPr="00112C63">
        <w:rPr>
          <w:sz w:val="20"/>
        </w:rPr>
        <w:t xml:space="preserve"> To obtain population estimates, design weights were adjusted for non</w:t>
      </w:r>
      <w:r>
        <w:rPr>
          <w:sz w:val="20"/>
        </w:rPr>
        <w:t>-</w:t>
      </w:r>
      <w:r w:rsidRPr="00112C63">
        <w:rPr>
          <w:sz w:val="20"/>
        </w:rPr>
        <w:t>response and calibrated to meet distribution by sex and age in strata.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4DAE1" w14:textId="77777777" w:rsidR="00716150" w:rsidRDefault="00716150">
    <w:pPr>
      <w:pStyle w:val="Header"/>
    </w:pPr>
    <w:r>
      <w:rPr>
        <w:noProof/>
        <w:lang w:eastAsia="pl-PL"/>
      </w:rPr>
      <w:pict w14:anchorId="79CE0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6001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r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E11B7" w14:textId="77777777" w:rsidR="00716150" w:rsidRPr="000B0921" w:rsidRDefault="00716150" w:rsidP="000B0921">
    <w:pPr>
      <w:pStyle w:val="Header"/>
      <w:tabs>
        <w:tab w:val="clear" w:pos="4536"/>
        <w:tab w:val="clear" w:pos="9072"/>
        <w:tab w:val="left" w:pos="3344"/>
      </w:tabs>
    </w:pPr>
    <w:r>
      <w:rPr>
        <w:noProof/>
        <w:lang w:val="et-EE" w:eastAsia="et-EE"/>
      </w:rPr>
      <w:drawing>
        <wp:inline distT="0" distB="0" distL="0" distR="0" wp14:anchorId="6F7D2CD3" wp14:editId="302D81FB">
          <wp:extent cx="1333500" cy="501934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m_logo_convertoitu_helsinki_pvm_sin_korjatt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321" cy="51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90EE9" w14:textId="77777777" w:rsidR="00716150" w:rsidRDefault="00716150">
    <w:pPr>
      <w:pStyle w:val="Header"/>
    </w:pPr>
    <w:r>
      <w:rPr>
        <w:noProof/>
        <w:lang w:eastAsia="pl-PL"/>
      </w:rPr>
      <w:pict w14:anchorId="5CE040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6000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r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ACC"/>
    <w:multiLevelType w:val="hybridMultilevel"/>
    <w:tmpl w:val="9EB2B9B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0C58"/>
    <w:multiLevelType w:val="hybridMultilevel"/>
    <w:tmpl w:val="0E52A6D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55C5"/>
    <w:multiLevelType w:val="hybridMultilevel"/>
    <w:tmpl w:val="9B848D6C"/>
    <w:lvl w:ilvl="0" w:tplc="FBB62CA8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25498"/>
    <w:multiLevelType w:val="hybridMultilevel"/>
    <w:tmpl w:val="E87A2FA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E5CD2"/>
    <w:multiLevelType w:val="hybridMultilevel"/>
    <w:tmpl w:val="680C1E52"/>
    <w:lvl w:ilvl="0" w:tplc="0688080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84880"/>
    <w:multiLevelType w:val="hybridMultilevel"/>
    <w:tmpl w:val="E2BCC31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D13DB"/>
    <w:multiLevelType w:val="hybridMultilevel"/>
    <w:tmpl w:val="B0B6A9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41394"/>
    <w:multiLevelType w:val="hybridMultilevel"/>
    <w:tmpl w:val="BE6E34F8"/>
    <w:lvl w:ilvl="0" w:tplc="3A3C9D5E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E6B2B"/>
    <w:multiLevelType w:val="hybridMultilevel"/>
    <w:tmpl w:val="7BA85C6A"/>
    <w:lvl w:ilvl="0" w:tplc="040A50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9C"/>
    <w:rsid w:val="00000BCA"/>
    <w:rsid w:val="00001695"/>
    <w:rsid w:val="00005205"/>
    <w:rsid w:val="000106A1"/>
    <w:rsid w:val="00014D82"/>
    <w:rsid w:val="000208B0"/>
    <w:rsid w:val="00026CD3"/>
    <w:rsid w:val="00030E9B"/>
    <w:rsid w:val="00033331"/>
    <w:rsid w:val="00040C28"/>
    <w:rsid w:val="000432E5"/>
    <w:rsid w:val="00047321"/>
    <w:rsid w:val="000477EA"/>
    <w:rsid w:val="00047C24"/>
    <w:rsid w:val="000506B5"/>
    <w:rsid w:val="00050CCA"/>
    <w:rsid w:val="00050F2C"/>
    <w:rsid w:val="0006049B"/>
    <w:rsid w:val="0006156D"/>
    <w:rsid w:val="00064C6C"/>
    <w:rsid w:val="00070925"/>
    <w:rsid w:val="0007704A"/>
    <w:rsid w:val="00083FAD"/>
    <w:rsid w:val="00090401"/>
    <w:rsid w:val="00094AAD"/>
    <w:rsid w:val="000957CC"/>
    <w:rsid w:val="000A4E70"/>
    <w:rsid w:val="000A635C"/>
    <w:rsid w:val="000B0921"/>
    <w:rsid w:val="000B30F7"/>
    <w:rsid w:val="000B5079"/>
    <w:rsid w:val="000C4A64"/>
    <w:rsid w:val="000C61FC"/>
    <w:rsid w:val="000C6472"/>
    <w:rsid w:val="000D705A"/>
    <w:rsid w:val="000E18F6"/>
    <w:rsid w:val="000E35D3"/>
    <w:rsid w:val="000E4FD4"/>
    <w:rsid w:val="000F337F"/>
    <w:rsid w:val="000F6E68"/>
    <w:rsid w:val="0010571F"/>
    <w:rsid w:val="00106833"/>
    <w:rsid w:val="00110269"/>
    <w:rsid w:val="001120A6"/>
    <w:rsid w:val="0011262B"/>
    <w:rsid w:val="00112C63"/>
    <w:rsid w:val="001130DB"/>
    <w:rsid w:val="00114E8D"/>
    <w:rsid w:val="0011662D"/>
    <w:rsid w:val="00123497"/>
    <w:rsid w:val="00126243"/>
    <w:rsid w:val="001316E3"/>
    <w:rsid w:val="00133B52"/>
    <w:rsid w:val="00133E07"/>
    <w:rsid w:val="00142A8D"/>
    <w:rsid w:val="001505C7"/>
    <w:rsid w:val="00155B24"/>
    <w:rsid w:val="00155B43"/>
    <w:rsid w:val="00155FDE"/>
    <w:rsid w:val="001563E0"/>
    <w:rsid w:val="00156AB3"/>
    <w:rsid w:val="001575BE"/>
    <w:rsid w:val="0015776C"/>
    <w:rsid w:val="00157DAD"/>
    <w:rsid w:val="0016033D"/>
    <w:rsid w:val="00160406"/>
    <w:rsid w:val="001636BC"/>
    <w:rsid w:val="00165BF9"/>
    <w:rsid w:val="0016743D"/>
    <w:rsid w:val="00173DB3"/>
    <w:rsid w:val="00182357"/>
    <w:rsid w:val="00185554"/>
    <w:rsid w:val="00186099"/>
    <w:rsid w:val="00190D6B"/>
    <w:rsid w:val="00194A9D"/>
    <w:rsid w:val="001A21A2"/>
    <w:rsid w:val="001B07F1"/>
    <w:rsid w:val="001B11E4"/>
    <w:rsid w:val="001B2019"/>
    <w:rsid w:val="001C0A59"/>
    <w:rsid w:val="001D1A3A"/>
    <w:rsid w:val="001D264A"/>
    <w:rsid w:val="001D2776"/>
    <w:rsid w:val="001D34CC"/>
    <w:rsid w:val="001D419D"/>
    <w:rsid w:val="001D4E31"/>
    <w:rsid w:val="001D7517"/>
    <w:rsid w:val="001E171C"/>
    <w:rsid w:val="001E3927"/>
    <w:rsid w:val="001E43DC"/>
    <w:rsid w:val="001E7BF2"/>
    <w:rsid w:val="001F0FA6"/>
    <w:rsid w:val="001F125E"/>
    <w:rsid w:val="001F50F5"/>
    <w:rsid w:val="001F79D1"/>
    <w:rsid w:val="00203B23"/>
    <w:rsid w:val="002069C0"/>
    <w:rsid w:val="00210520"/>
    <w:rsid w:val="00210B95"/>
    <w:rsid w:val="0021599F"/>
    <w:rsid w:val="00221F17"/>
    <w:rsid w:val="00223B73"/>
    <w:rsid w:val="0022455D"/>
    <w:rsid w:val="00234927"/>
    <w:rsid w:val="0023623C"/>
    <w:rsid w:val="0024203C"/>
    <w:rsid w:val="00242620"/>
    <w:rsid w:val="00252BD9"/>
    <w:rsid w:val="002610B2"/>
    <w:rsid w:val="00275CC5"/>
    <w:rsid w:val="002777AF"/>
    <w:rsid w:val="0028050A"/>
    <w:rsid w:val="0028150C"/>
    <w:rsid w:val="00282B53"/>
    <w:rsid w:val="00283A9B"/>
    <w:rsid w:val="00287416"/>
    <w:rsid w:val="00290416"/>
    <w:rsid w:val="00293580"/>
    <w:rsid w:val="002A3463"/>
    <w:rsid w:val="002A4408"/>
    <w:rsid w:val="002B153B"/>
    <w:rsid w:val="002B3D2F"/>
    <w:rsid w:val="002B5862"/>
    <w:rsid w:val="002B6D33"/>
    <w:rsid w:val="002C333D"/>
    <w:rsid w:val="002C6C0C"/>
    <w:rsid w:val="002D3714"/>
    <w:rsid w:val="002E47D8"/>
    <w:rsid w:val="002E5318"/>
    <w:rsid w:val="002F0431"/>
    <w:rsid w:val="002F3AE6"/>
    <w:rsid w:val="002F6416"/>
    <w:rsid w:val="00306EA0"/>
    <w:rsid w:val="00315350"/>
    <w:rsid w:val="00320847"/>
    <w:rsid w:val="00322466"/>
    <w:rsid w:val="00326C33"/>
    <w:rsid w:val="00327AC5"/>
    <w:rsid w:val="00334605"/>
    <w:rsid w:val="00335E1D"/>
    <w:rsid w:val="00336E21"/>
    <w:rsid w:val="00340196"/>
    <w:rsid w:val="00343986"/>
    <w:rsid w:val="00350B39"/>
    <w:rsid w:val="0035694D"/>
    <w:rsid w:val="00362815"/>
    <w:rsid w:val="003648C7"/>
    <w:rsid w:val="00365B22"/>
    <w:rsid w:val="00370764"/>
    <w:rsid w:val="00376E65"/>
    <w:rsid w:val="00381E1C"/>
    <w:rsid w:val="003A1D16"/>
    <w:rsid w:val="003A4CAB"/>
    <w:rsid w:val="003A5F25"/>
    <w:rsid w:val="003B2801"/>
    <w:rsid w:val="003B4F9C"/>
    <w:rsid w:val="003B693E"/>
    <w:rsid w:val="003C75E4"/>
    <w:rsid w:val="003D0235"/>
    <w:rsid w:val="003D0253"/>
    <w:rsid w:val="003D2D02"/>
    <w:rsid w:val="003D736F"/>
    <w:rsid w:val="003E2B7E"/>
    <w:rsid w:val="00401F04"/>
    <w:rsid w:val="00403977"/>
    <w:rsid w:val="004150F5"/>
    <w:rsid w:val="00422A49"/>
    <w:rsid w:val="004359D0"/>
    <w:rsid w:val="0044273A"/>
    <w:rsid w:val="0044295D"/>
    <w:rsid w:val="00453DFE"/>
    <w:rsid w:val="00456477"/>
    <w:rsid w:val="00460DF0"/>
    <w:rsid w:val="00466048"/>
    <w:rsid w:val="00467E8F"/>
    <w:rsid w:val="004740F1"/>
    <w:rsid w:val="00476206"/>
    <w:rsid w:val="00477282"/>
    <w:rsid w:val="00481F9E"/>
    <w:rsid w:val="00493026"/>
    <w:rsid w:val="00493A78"/>
    <w:rsid w:val="00496CCB"/>
    <w:rsid w:val="004A12A7"/>
    <w:rsid w:val="004A1A99"/>
    <w:rsid w:val="004A7480"/>
    <w:rsid w:val="004B304C"/>
    <w:rsid w:val="004B39C1"/>
    <w:rsid w:val="004B43B7"/>
    <w:rsid w:val="004B6729"/>
    <w:rsid w:val="004C5048"/>
    <w:rsid w:val="004E0115"/>
    <w:rsid w:val="004E096E"/>
    <w:rsid w:val="004F04B4"/>
    <w:rsid w:val="004F108B"/>
    <w:rsid w:val="004F270D"/>
    <w:rsid w:val="004F31E8"/>
    <w:rsid w:val="004F6698"/>
    <w:rsid w:val="004F6D93"/>
    <w:rsid w:val="005015FB"/>
    <w:rsid w:val="005078F0"/>
    <w:rsid w:val="005215E8"/>
    <w:rsid w:val="00524AC3"/>
    <w:rsid w:val="00525E22"/>
    <w:rsid w:val="00526D75"/>
    <w:rsid w:val="00530FD6"/>
    <w:rsid w:val="0054256D"/>
    <w:rsid w:val="00545CBD"/>
    <w:rsid w:val="00555CCA"/>
    <w:rsid w:val="00561A25"/>
    <w:rsid w:val="00564128"/>
    <w:rsid w:val="00570FA4"/>
    <w:rsid w:val="005812C5"/>
    <w:rsid w:val="00582D67"/>
    <w:rsid w:val="005A149D"/>
    <w:rsid w:val="005A1F57"/>
    <w:rsid w:val="005A2A25"/>
    <w:rsid w:val="005A4234"/>
    <w:rsid w:val="005A549C"/>
    <w:rsid w:val="005B2310"/>
    <w:rsid w:val="005B2D97"/>
    <w:rsid w:val="005B37F0"/>
    <w:rsid w:val="005B6971"/>
    <w:rsid w:val="005C11D1"/>
    <w:rsid w:val="005C131E"/>
    <w:rsid w:val="005C400B"/>
    <w:rsid w:val="005C630E"/>
    <w:rsid w:val="005D03B7"/>
    <w:rsid w:val="005D1315"/>
    <w:rsid w:val="005D44F8"/>
    <w:rsid w:val="005D58D9"/>
    <w:rsid w:val="005D7CF6"/>
    <w:rsid w:val="005E14C8"/>
    <w:rsid w:val="00602F14"/>
    <w:rsid w:val="006052BF"/>
    <w:rsid w:val="00606D94"/>
    <w:rsid w:val="00625582"/>
    <w:rsid w:val="00634D04"/>
    <w:rsid w:val="00635676"/>
    <w:rsid w:val="006439D6"/>
    <w:rsid w:val="006521B0"/>
    <w:rsid w:val="00653D6C"/>
    <w:rsid w:val="00655547"/>
    <w:rsid w:val="00660FB8"/>
    <w:rsid w:val="00663396"/>
    <w:rsid w:val="00667788"/>
    <w:rsid w:val="006725B1"/>
    <w:rsid w:val="006765E2"/>
    <w:rsid w:val="006766CC"/>
    <w:rsid w:val="006837F6"/>
    <w:rsid w:val="0068746F"/>
    <w:rsid w:val="0069009D"/>
    <w:rsid w:val="00695258"/>
    <w:rsid w:val="00697934"/>
    <w:rsid w:val="006A2653"/>
    <w:rsid w:val="006B14BA"/>
    <w:rsid w:val="006B1F86"/>
    <w:rsid w:val="006B5A4A"/>
    <w:rsid w:val="006B5F6C"/>
    <w:rsid w:val="006C373B"/>
    <w:rsid w:val="006C5879"/>
    <w:rsid w:val="006D0DDA"/>
    <w:rsid w:val="006D1648"/>
    <w:rsid w:val="006E3061"/>
    <w:rsid w:val="006F2188"/>
    <w:rsid w:val="006F510D"/>
    <w:rsid w:val="006F6053"/>
    <w:rsid w:val="00701955"/>
    <w:rsid w:val="00707A9D"/>
    <w:rsid w:val="007151CF"/>
    <w:rsid w:val="00716150"/>
    <w:rsid w:val="00720504"/>
    <w:rsid w:val="00725663"/>
    <w:rsid w:val="007355F2"/>
    <w:rsid w:val="0073562E"/>
    <w:rsid w:val="00741621"/>
    <w:rsid w:val="00743056"/>
    <w:rsid w:val="00743B11"/>
    <w:rsid w:val="00747A1F"/>
    <w:rsid w:val="0075353D"/>
    <w:rsid w:val="00762017"/>
    <w:rsid w:val="00766399"/>
    <w:rsid w:val="007730C4"/>
    <w:rsid w:val="007754C9"/>
    <w:rsid w:val="007758C1"/>
    <w:rsid w:val="00776C97"/>
    <w:rsid w:val="007821D0"/>
    <w:rsid w:val="007854F6"/>
    <w:rsid w:val="00786147"/>
    <w:rsid w:val="00790971"/>
    <w:rsid w:val="007A2CC8"/>
    <w:rsid w:val="007B0D73"/>
    <w:rsid w:val="007B2114"/>
    <w:rsid w:val="007C0CBA"/>
    <w:rsid w:val="007C0E37"/>
    <w:rsid w:val="007D1482"/>
    <w:rsid w:val="007D349A"/>
    <w:rsid w:val="007D4830"/>
    <w:rsid w:val="007D6237"/>
    <w:rsid w:val="007E0ECE"/>
    <w:rsid w:val="007E4962"/>
    <w:rsid w:val="007E6311"/>
    <w:rsid w:val="007E6D8C"/>
    <w:rsid w:val="007F4DDB"/>
    <w:rsid w:val="007F5CD6"/>
    <w:rsid w:val="008075FC"/>
    <w:rsid w:val="00807761"/>
    <w:rsid w:val="0082373C"/>
    <w:rsid w:val="00826E55"/>
    <w:rsid w:val="00832FD3"/>
    <w:rsid w:val="00833D50"/>
    <w:rsid w:val="00835B9D"/>
    <w:rsid w:val="00845BF9"/>
    <w:rsid w:val="00846B63"/>
    <w:rsid w:val="00847C76"/>
    <w:rsid w:val="00847D6B"/>
    <w:rsid w:val="0085041A"/>
    <w:rsid w:val="0085579F"/>
    <w:rsid w:val="0085675B"/>
    <w:rsid w:val="00856DE1"/>
    <w:rsid w:val="00860244"/>
    <w:rsid w:val="00866852"/>
    <w:rsid w:val="00867B2C"/>
    <w:rsid w:val="00870D92"/>
    <w:rsid w:val="0087230A"/>
    <w:rsid w:val="00873330"/>
    <w:rsid w:val="0087354F"/>
    <w:rsid w:val="00874027"/>
    <w:rsid w:val="00876FAC"/>
    <w:rsid w:val="00880624"/>
    <w:rsid w:val="00883326"/>
    <w:rsid w:val="00887386"/>
    <w:rsid w:val="0089239E"/>
    <w:rsid w:val="008A075F"/>
    <w:rsid w:val="008A5172"/>
    <w:rsid w:val="008A71D2"/>
    <w:rsid w:val="008A7274"/>
    <w:rsid w:val="008B0935"/>
    <w:rsid w:val="008C0A70"/>
    <w:rsid w:val="008C1C41"/>
    <w:rsid w:val="008C320F"/>
    <w:rsid w:val="008C42C4"/>
    <w:rsid w:val="008C4DD3"/>
    <w:rsid w:val="008D4916"/>
    <w:rsid w:val="008D56E1"/>
    <w:rsid w:val="008D6094"/>
    <w:rsid w:val="008E5BE6"/>
    <w:rsid w:val="008E77DE"/>
    <w:rsid w:val="008F0241"/>
    <w:rsid w:val="008F570B"/>
    <w:rsid w:val="00902A7F"/>
    <w:rsid w:val="0091659B"/>
    <w:rsid w:val="009214F4"/>
    <w:rsid w:val="00923933"/>
    <w:rsid w:val="009244D7"/>
    <w:rsid w:val="009378F5"/>
    <w:rsid w:val="009379B6"/>
    <w:rsid w:val="009422DF"/>
    <w:rsid w:val="00947368"/>
    <w:rsid w:val="00961D70"/>
    <w:rsid w:val="009660DD"/>
    <w:rsid w:val="009677F5"/>
    <w:rsid w:val="009715DB"/>
    <w:rsid w:val="00973B8D"/>
    <w:rsid w:val="00980DC7"/>
    <w:rsid w:val="00982254"/>
    <w:rsid w:val="009831B8"/>
    <w:rsid w:val="009956DF"/>
    <w:rsid w:val="0099739B"/>
    <w:rsid w:val="009A07D6"/>
    <w:rsid w:val="009A11E9"/>
    <w:rsid w:val="009B0502"/>
    <w:rsid w:val="009B0C0A"/>
    <w:rsid w:val="009C315E"/>
    <w:rsid w:val="009D09FF"/>
    <w:rsid w:val="009E2EC6"/>
    <w:rsid w:val="009F32B8"/>
    <w:rsid w:val="00A00470"/>
    <w:rsid w:val="00A06080"/>
    <w:rsid w:val="00A07DB4"/>
    <w:rsid w:val="00A11703"/>
    <w:rsid w:val="00A11B4B"/>
    <w:rsid w:val="00A16277"/>
    <w:rsid w:val="00A16853"/>
    <w:rsid w:val="00A20E35"/>
    <w:rsid w:val="00A23816"/>
    <w:rsid w:val="00A265F7"/>
    <w:rsid w:val="00A37E53"/>
    <w:rsid w:val="00A43925"/>
    <w:rsid w:val="00A454B6"/>
    <w:rsid w:val="00A4615E"/>
    <w:rsid w:val="00A47BB0"/>
    <w:rsid w:val="00A50C0F"/>
    <w:rsid w:val="00A52D87"/>
    <w:rsid w:val="00A531F2"/>
    <w:rsid w:val="00A53AAE"/>
    <w:rsid w:val="00A6013E"/>
    <w:rsid w:val="00A71C2A"/>
    <w:rsid w:val="00A75AB3"/>
    <w:rsid w:val="00A86CA6"/>
    <w:rsid w:val="00A94BEC"/>
    <w:rsid w:val="00AB00B9"/>
    <w:rsid w:val="00AB07C7"/>
    <w:rsid w:val="00AB0D2B"/>
    <w:rsid w:val="00AB5192"/>
    <w:rsid w:val="00AB744B"/>
    <w:rsid w:val="00AC0ACB"/>
    <w:rsid w:val="00AD12A3"/>
    <w:rsid w:val="00AD1423"/>
    <w:rsid w:val="00AD4AEE"/>
    <w:rsid w:val="00AD5733"/>
    <w:rsid w:val="00AE0A49"/>
    <w:rsid w:val="00B107E3"/>
    <w:rsid w:val="00B10FAE"/>
    <w:rsid w:val="00B1454E"/>
    <w:rsid w:val="00B171AC"/>
    <w:rsid w:val="00B2150F"/>
    <w:rsid w:val="00B470E5"/>
    <w:rsid w:val="00B47197"/>
    <w:rsid w:val="00B47CC4"/>
    <w:rsid w:val="00B52201"/>
    <w:rsid w:val="00B52BAF"/>
    <w:rsid w:val="00B574D9"/>
    <w:rsid w:val="00B63600"/>
    <w:rsid w:val="00B63C89"/>
    <w:rsid w:val="00B67C02"/>
    <w:rsid w:val="00B7005D"/>
    <w:rsid w:val="00B7044B"/>
    <w:rsid w:val="00B71ED7"/>
    <w:rsid w:val="00B72169"/>
    <w:rsid w:val="00B74218"/>
    <w:rsid w:val="00B77A7F"/>
    <w:rsid w:val="00B8313C"/>
    <w:rsid w:val="00B866BC"/>
    <w:rsid w:val="00B86FC7"/>
    <w:rsid w:val="00B87730"/>
    <w:rsid w:val="00B87C5E"/>
    <w:rsid w:val="00B87F07"/>
    <w:rsid w:val="00B912C3"/>
    <w:rsid w:val="00B92006"/>
    <w:rsid w:val="00B9643F"/>
    <w:rsid w:val="00BA7314"/>
    <w:rsid w:val="00BB19AC"/>
    <w:rsid w:val="00BB4419"/>
    <w:rsid w:val="00BB5A91"/>
    <w:rsid w:val="00BB64CF"/>
    <w:rsid w:val="00BC228F"/>
    <w:rsid w:val="00BC26CE"/>
    <w:rsid w:val="00BD1890"/>
    <w:rsid w:val="00BD5BE2"/>
    <w:rsid w:val="00BE04A2"/>
    <w:rsid w:val="00BF2C24"/>
    <w:rsid w:val="00BF6DBC"/>
    <w:rsid w:val="00C00E95"/>
    <w:rsid w:val="00C0188F"/>
    <w:rsid w:val="00C01F47"/>
    <w:rsid w:val="00C127BC"/>
    <w:rsid w:val="00C16E8E"/>
    <w:rsid w:val="00C20854"/>
    <w:rsid w:val="00C24E35"/>
    <w:rsid w:val="00C261EA"/>
    <w:rsid w:val="00C40213"/>
    <w:rsid w:val="00C43E83"/>
    <w:rsid w:val="00C44428"/>
    <w:rsid w:val="00C444A7"/>
    <w:rsid w:val="00C47B34"/>
    <w:rsid w:val="00C50765"/>
    <w:rsid w:val="00C55909"/>
    <w:rsid w:val="00C726EA"/>
    <w:rsid w:val="00C74A1D"/>
    <w:rsid w:val="00C75B94"/>
    <w:rsid w:val="00C92DE7"/>
    <w:rsid w:val="00CA08BB"/>
    <w:rsid w:val="00CA68A3"/>
    <w:rsid w:val="00CB2B44"/>
    <w:rsid w:val="00CB3CC0"/>
    <w:rsid w:val="00CB4074"/>
    <w:rsid w:val="00CB658A"/>
    <w:rsid w:val="00CC1C1D"/>
    <w:rsid w:val="00CD266D"/>
    <w:rsid w:val="00CE0D93"/>
    <w:rsid w:val="00CE5296"/>
    <w:rsid w:val="00CF33AD"/>
    <w:rsid w:val="00CF656A"/>
    <w:rsid w:val="00D01603"/>
    <w:rsid w:val="00D0258C"/>
    <w:rsid w:val="00D0270E"/>
    <w:rsid w:val="00D1660B"/>
    <w:rsid w:val="00D20550"/>
    <w:rsid w:val="00D32B80"/>
    <w:rsid w:val="00D3638C"/>
    <w:rsid w:val="00D45F33"/>
    <w:rsid w:val="00D47431"/>
    <w:rsid w:val="00D5120A"/>
    <w:rsid w:val="00D51A1B"/>
    <w:rsid w:val="00D52194"/>
    <w:rsid w:val="00D545BA"/>
    <w:rsid w:val="00D57C0A"/>
    <w:rsid w:val="00D65C24"/>
    <w:rsid w:val="00D667AE"/>
    <w:rsid w:val="00D679E8"/>
    <w:rsid w:val="00D71398"/>
    <w:rsid w:val="00D744EE"/>
    <w:rsid w:val="00D74A1B"/>
    <w:rsid w:val="00D757AD"/>
    <w:rsid w:val="00D822DA"/>
    <w:rsid w:val="00D8370C"/>
    <w:rsid w:val="00D877A9"/>
    <w:rsid w:val="00D9300D"/>
    <w:rsid w:val="00D94BA5"/>
    <w:rsid w:val="00DA0BFE"/>
    <w:rsid w:val="00DA44D7"/>
    <w:rsid w:val="00DA50A8"/>
    <w:rsid w:val="00DA74F6"/>
    <w:rsid w:val="00DA7A8F"/>
    <w:rsid w:val="00DB4182"/>
    <w:rsid w:val="00DC3A91"/>
    <w:rsid w:val="00DD4526"/>
    <w:rsid w:val="00DD4977"/>
    <w:rsid w:val="00DE01B4"/>
    <w:rsid w:val="00DE1F3C"/>
    <w:rsid w:val="00DE2D1E"/>
    <w:rsid w:val="00DF27A8"/>
    <w:rsid w:val="00DF3142"/>
    <w:rsid w:val="00DF34E1"/>
    <w:rsid w:val="00DF43EA"/>
    <w:rsid w:val="00DF7EB5"/>
    <w:rsid w:val="00E00786"/>
    <w:rsid w:val="00E057E6"/>
    <w:rsid w:val="00E07992"/>
    <w:rsid w:val="00E1570E"/>
    <w:rsid w:val="00E16C45"/>
    <w:rsid w:val="00E231AA"/>
    <w:rsid w:val="00E261EB"/>
    <w:rsid w:val="00E31C41"/>
    <w:rsid w:val="00E331EF"/>
    <w:rsid w:val="00E34976"/>
    <w:rsid w:val="00E37791"/>
    <w:rsid w:val="00E41C68"/>
    <w:rsid w:val="00E44792"/>
    <w:rsid w:val="00E52720"/>
    <w:rsid w:val="00E5471A"/>
    <w:rsid w:val="00E54D80"/>
    <w:rsid w:val="00E566B6"/>
    <w:rsid w:val="00E62C81"/>
    <w:rsid w:val="00E64B4B"/>
    <w:rsid w:val="00E660CD"/>
    <w:rsid w:val="00E7228E"/>
    <w:rsid w:val="00E82B25"/>
    <w:rsid w:val="00E86192"/>
    <w:rsid w:val="00E91B87"/>
    <w:rsid w:val="00E91BD1"/>
    <w:rsid w:val="00E92831"/>
    <w:rsid w:val="00E92DFD"/>
    <w:rsid w:val="00E9313B"/>
    <w:rsid w:val="00E94F78"/>
    <w:rsid w:val="00EA0CFC"/>
    <w:rsid w:val="00EA1649"/>
    <w:rsid w:val="00EA4155"/>
    <w:rsid w:val="00EB0FA9"/>
    <w:rsid w:val="00EB44F5"/>
    <w:rsid w:val="00EB596C"/>
    <w:rsid w:val="00EB6AEB"/>
    <w:rsid w:val="00EB7A63"/>
    <w:rsid w:val="00EC096F"/>
    <w:rsid w:val="00EC3F24"/>
    <w:rsid w:val="00EC5F5A"/>
    <w:rsid w:val="00EC7D8E"/>
    <w:rsid w:val="00ED19A9"/>
    <w:rsid w:val="00EE4A70"/>
    <w:rsid w:val="00EE4EE2"/>
    <w:rsid w:val="00EE5849"/>
    <w:rsid w:val="00EF11E1"/>
    <w:rsid w:val="00EF2078"/>
    <w:rsid w:val="00EF548F"/>
    <w:rsid w:val="00F030D6"/>
    <w:rsid w:val="00F0383D"/>
    <w:rsid w:val="00F03C83"/>
    <w:rsid w:val="00F07CBD"/>
    <w:rsid w:val="00F1563B"/>
    <w:rsid w:val="00F15755"/>
    <w:rsid w:val="00F1692D"/>
    <w:rsid w:val="00F20004"/>
    <w:rsid w:val="00F25754"/>
    <w:rsid w:val="00F30C27"/>
    <w:rsid w:val="00F31F6D"/>
    <w:rsid w:val="00F43640"/>
    <w:rsid w:val="00F43A14"/>
    <w:rsid w:val="00F45C4E"/>
    <w:rsid w:val="00F4659F"/>
    <w:rsid w:val="00F51570"/>
    <w:rsid w:val="00F564EC"/>
    <w:rsid w:val="00F5756A"/>
    <w:rsid w:val="00F64914"/>
    <w:rsid w:val="00F6493A"/>
    <w:rsid w:val="00F65724"/>
    <w:rsid w:val="00F66BA9"/>
    <w:rsid w:val="00F7034B"/>
    <w:rsid w:val="00F74B2A"/>
    <w:rsid w:val="00F74EA2"/>
    <w:rsid w:val="00F76073"/>
    <w:rsid w:val="00F92D39"/>
    <w:rsid w:val="00FA0B10"/>
    <w:rsid w:val="00FA0D43"/>
    <w:rsid w:val="00FA6F2A"/>
    <w:rsid w:val="00FB2D7E"/>
    <w:rsid w:val="00FC5048"/>
    <w:rsid w:val="00FC7883"/>
    <w:rsid w:val="00FC7D3B"/>
    <w:rsid w:val="00FE369C"/>
    <w:rsid w:val="00FE3CC6"/>
    <w:rsid w:val="00FF163A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75DBC0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1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71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B25"/>
  </w:style>
  <w:style w:type="paragraph" w:styleId="Footer">
    <w:name w:val="footer"/>
    <w:basedOn w:val="Normal"/>
    <w:link w:val="FooterChar"/>
    <w:uiPriority w:val="99"/>
    <w:unhideWhenUsed/>
    <w:rsid w:val="00E8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B25"/>
  </w:style>
  <w:style w:type="character" w:styleId="CommentReference">
    <w:name w:val="annotation reference"/>
    <w:basedOn w:val="DefaultParagraphFont"/>
    <w:uiPriority w:val="99"/>
    <w:semiHidden/>
    <w:unhideWhenUsed/>
    <w:rsid w:val="00697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93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54B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0C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C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C2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D4A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B41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B41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4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1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4182"/>
    <w:rPr>
      <w:rFonts w:eastAsiaTheme="minorEastAsia"/>
      <w:color w:val="5A5A5A" w:themeColor="text1" w:themeTint="A5"/>
      <w:spacing w:val="1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F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43EA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6F6053"/>
    <w:pPr>
      <w:spacing w:after="240" w:line="240" w:lineRule="auto"/>
    </w:pPr>
  </w:style>
  <w:style w:type="paragraph" w:customStyle="1" w:styleId="NSMnormal">
    <w:name w:val="NSMnormal"/>
    <w:basedOn w:val="Normal"/>
    <w:qFormat/>
    <w:rsid w:val="005D44F8"/>
    <w:pPr>
      <w:spacing w:before="120" w:after="0" w:line="36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NSMpealkiri2">
    <w:name w:val="NSMpealkiri2"/>
    <w:basedOn w:val="Normal"/>
    <w:qFormat/>
    <w:rsid w:val="005D44F8"/>
    <w:pPr>
      <w:spacing w:before="360" w:after="0" w:line="360" w:lineRule="auto"/>
      <w:jc w:val="both"/>
    </w:pPr>
    <w:rPr>
      <w:rFonts w:ascii="Arial" w:hAnsi="Arial" w:cs="Arial"/>
      <w:b/>
      <w:sz w:val="24"/>
      <w:szCs w:val="24"/>
      <w:lang w:val="en-GB"/>
    </w:rPr>
  </w:style>
  <w:style w:type="paragraph" w:customStyle="1" w:styleId="NSMpealdis">
    <w:name w:val="NSM_pealdis"/>
    <w:basedOn w:val="Caption"/>
    <w:qFormat/>
    <w:rsid w:val="000477EA"/>
    <w:pPr>
      <w:keepNext/>
    </w:pPr>
    <w:rPr>
      <w:rFonts w:ascii="Arial" w:hAnsi="Arial" w:cs="Arial"/>
      <w:b/>
      <w:i w:val="0"/>
      <w:color w:val="auto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B304C"/>
    <w:rPr>
      <w:vertAlign w:val="superscript"/>
    </w:rPr>
  </w:style>
  <w:style w:type="paragraph" w:styleId="Revision">
    <w:name w:val="Revision"/>
    <w:hidden/>
    <w:uiPriority w:val="99"/>
    <w:semiHidden/>
    <w:rsid w:val="00477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4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8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67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e.visk@stat.e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kristi.lehto@stat.e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ailid\SA\Kasutajad\helle.visk\personal\Helle\REGREL\publikatsioonid\NSM%202019\tabelid_artikliss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m_n_arv!$M$20</c:f>
              <c:strCache>
                <c:ptCount val="1"/>
                <c:pt idx="0">
                  <c:v>Male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m_n_arv!$L$21:$L$35</c:f>
              <c:strCache>
                <c:ptCount val="15"/>
                <c:pt idx="0">
                  <c:v>18–19</c:v>
                </c:pt>
                <c:pt idx="1">
                  <c:v>20–24</c:v>
                </c:pt>
                <c:pt idx="2">
                  <c:v>25–29</c:v>
                </c:pt>
                <c:pt idx="3">
                  <c:v>30–34</c:v>
                </c:pt>
                <c:pt idx="4">
                  <c:v>35–39</c:v>
                </c:pt>
                <c:pt idx="5">
                  <c:v>40–44</c:v>
                </c:pt>
                <c:pt idx="6">
                  <c:v>45–49</c:v>
                </c:pt>
                <c:pt idx="7">
                  <c:v>50–54</c:v>
                </c:pt>
                <c:pt idx="8">
                  <c:v>55–59</c:v>
                </c:pt>
                <c:pt idx="9">
                  <c:v>60–64</c:v>
                </c:pt>
                <c:pt idx="10">
                  <c:v>65–69</c:v>
                </c:pt>
                <c:pt idx="11">
                  <c:v>70–74</c:v>
                </c:pt>
                <c:pt idx="12">
                  <c:v>75–79</c:v>
                </c:pt>
                <c:pt idx="13">
                  <c:v>80–84</c:v>
                </c:pt>
                <c:pt idx="14">
                  <c:v>85+</c:v>
                </c:pt>
              </c:strCache>
            </c:strRef>
          </c:cat>
          <c:val>
            <c:numRef>
              <c:f>m_n_arv!$M$21:$M$35</c:f>
              <c:numCache>
                <c:formatCode>General</c:formatCode>
                <c:ptCount val="15"/>
                <c:pt idx="0">
                  <c:v>16.7</c:v>
                </c:pt>
                <c:pt idx="1">
                  <c:v>33.700000000000003</c:v>
                </c:pt>
                <c:pt idx="2">
                  <c:v>57.7</c:v>
                </c:pt>
                <c:pt idx="3">
                  <c:v>74.5</c:v>
                </c:pt>
                <c:pt idx="4">
                  <c:v>83.2</c:v>
                </c:pt>
                <c:pt idx="5">
                  <c:v>85.7</c:v>
                </c:pt>
                <c:pt idx="6">
                  <c:v>87.3</c:v>
                </c:pt>
                <c:pt idx="7">
                  <c:v>89</c:v>
                </c:pt>
                <c:pt idx="8">
                  <c:v>90.4</c:v>
                </c:pt>
                <c:pt idx="9">
                  <c:v>90.8</c:v>
                </c:pt>
                <c:pt idx="10">
                  <c:v>90.6</c:v>
                </c:pt>
                <c:pt idx="11">
                  <c:v>89.6</c:v>
                </c:pt>
                <c:pt idx="12">
                  <c:v>86.8</c:v>
                </c:pt>
                <c:pt idx="13">
                  <c:v>82.7</c:v>
                </c:pt>
                <c:pt idx="14">
                  <c:v>73.099999999999994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2A7-4E25-8BE7-D29CAA8D6F89}"/>
            </c:ext>
          </c:extLst>
        </c:ser>
        <c:ser>
          <c:idx val="1"/>
          <c:order val="1"/>
          <c:tx>
            <c:strRef>
              <c:f>m_n_arv!$N$20</c:f>
              <c:strCache>
                <c:ptCount val="1"/>
                <c:pt idx="0">
                  <c:v>Female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m_n_arv!$L$21:$L$35</c:f>
              <c:strCache>
                <c:ptCount val="15"/>
                <c:pt idx="0">
                  <c:v>18–19</c:v>
                </c:pt>
                <c:pt idx="1">
                  <c:v>20–24</c:v>
                </c:pt>
                <c:pt idx="2">
                  <c:v>25–29</c:v>
                </c:pt>
                <c:pt idx="3">
                  <c:v>30–34</c:v>
                </c:pt>
                <c:pt idx="4">
                  <c:v>35–39</c:v>
                </c:pt>
                <c:pt idx="5">
                  <c:v>40–44</c:v>
                </c:pt>
                <c:pt idx="6">
                  <c:v>45–49</c:v>
                </c:pt>
                <c:pt idx="7">
                  <c:v>50–54</c:v>
                </c:pt>
                <c:pt idx="8">
                  <c:v>55–59</c:v>
                </c:pt>
                <c:pt idx="9">
                  <c:v>60–64</c:v>
                </c:pt>
                <c:pt idx="10">
                  <c:v>65–69</c:v>
                </c:pt>
                <c:pt idx="11">
                  <c:v>70–74</c:v>
                </c:pt>
                <c:pt idx="12">
                  <c:v>75–79</c:v>
                </c:pt>
                <c:pt idx="13">
                  <c:v>80–84</c:v>
                </c:pt>
                <c:pt idx="14">
                  <c:v>85+</c:v>
                </c:pt>
              </c:strCache>
            </c:strRef>
          </c:cat>
          <c:val>
            <c:numRef>
              <c:f>m_n_arv!$N$21:$N$35</c:f>
              <c:numCache>
                <c:formatCode>General</c:formatCode>
                <c:ptCount val="15"/>
                <c:pt idx="0">
                  <c:v>28.6</c:v>
                </c:pt>
                <c:pt idx="1">
                  <c:v>52.3</c:v>
                </c:pt>
                <c:pt idx="2">
                  <c:v>75</c:v>
                </c:pt>
                <c:pt idx="3">
                  <c:v>86.6</c:v>
                </c:pt>
                <c:pt idx="4">
                  <c:v>90.3</c:v>
                </c:pt>
                <c:pt idx="5">
                  <c:v>90</c:v>
                </c:pt>
                <c:pt idx="6">
                  <c:v>88.1</c:v>
                </c:pt>
                <c:pt idx="7">
                  <c:v>86</c:v>
                </c:pt>
                <c:pt idx="8">
                  <c:v>82.1</c:v>
                </c:pt>
                <c:pt idx="9">
                  <c:v>76.3</c:v>
                </c:pt>
                <c:pt idx="10">
                  <c:v>68.099999999999994</c:v>
                </c:pt>
                <c:pt idx="11">
                  <c:v>59.6</c:v>
                </c:pt>
                <c:pt idx="12">
                  <c:v>48.5</c:v>
                </c:pt>
                <c:pt idx="13">
                  <c:v>40.200000000000003</c:v>
                </c:pt>
                <c:pt idx="14">
                  <c:v>35.700000000000003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2A7-4E25-8BE7-D29CAA8D6F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5728120"/>
        <c:axId val="255728512"/>
      </c:lineChart>
      <c:catAx>
        <c:axId val="2557281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t-EE"/>
                  <a:t>Age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t-E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255728512"/>
        <c:crosses val="autoZero"/>
        <c:auto val="1"/>
        <c:lblAlgn val="ctr"/>
        <c:lblOffset val="100"/>
        <c:noMultiLvlLbl val="0"/>
      </c:catAx>
      <c:valAx>
        <c:axId val="25572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t-EE"/>
                  <a:t>Proportion of resident</a:t>
                </a:r>
                <a:r>
                  <a:rPr lang="et-EE" baseline="0"/>
                  <a:t> population covered in partnership data %</a:t>
                </a:r>
                <a:endParaRPr lang="et-EE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t-E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255728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20AE5-003B-4D51-B694-3D870C36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4614</Words>
  <Characters>26766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2019-06-26T10:55:00Z</dcterms:created>
  <dcterms:modified xsi:type="dcterms:W3CDTF">2019-06-26T11:07:00Z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zotero-version="5.0.34"&gt;&lt;session id="DgZhy51E"/&gt;&lt;style id="http://www.zotero.org/styles/harvard-cite-them-right" hasBibliography="1" bibliographyStyleHasBeenSet="1"/&gt;&lt;prefs&gt;&lt;pref name="fieldType" value="Field"/&gt;&lt;pref name="automatic</vt:lpwstr>
  </property>
  <property fmtid="{D5CDD505-2E9C-101B-9397-08002B2CF9AE}" pid="3" name="ZOTERO_PREF_2">
    <vt:lpwstr>JournalAbbreviations" value="true"/&gt;&lt;pref name="noteType" value="0"/&gt;&lt;/prefs&gt;&lt;/data&gt;</vt:lpwstr>
  </property>
</Properties>
</file>